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Registro de Riscos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Cada risco, sua prioridade e a resposta planejada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21 · Planejamento · PMBOK: 11.2 Identificar os Riscos (a 11.7)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Toda a equipe identifica; a gerência consolida; cada risco tem um responsável. Revise em toda reunião de status.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21_registro_de_riscos.pdf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03 Project Model Canvas · 04 Termo de Abertura do Projeto · 05 Registro de Premissas e Restrições · 06 Registro das Partes Interessadas · 10 Declaração do Escopo · 11 Estrutura Analítica do Projeto · 17 Estimativa das Atividades · 19 Cronograma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22 Planilha de Custos do Projeto · 25 Plano de Gerenciamento do Projeto · 27 Registro de Questões · 28 Registro de Lições Aprendidas · 31 Relatório de Status do Projeto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🎲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Escalas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048"/>
        <w:gridCol w:w="4193"/>
        <w:gridCol w:w="4193"/>
        <w:gridCol w:w="5242"/>
      </w:tblGrid>
      <w:tr>
        <w:trPr>
          <w:tblHeader/>
        </w:trPr>
        <w:tc>
          <w:tcPr>
            <w:tcW w:w="104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Nota</w:t>
            </w:r>
          </w:p>
        </w:tc>
        <w:tc>
          <w:tcPr>
            <w:tcW w:w="419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Probabilidade</w:t>
            </w:r>
          </w:p>
        </w:tc>
        <w:tc>
          <w:tcPr>
            <w:tcW w:w="419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Impacto no prazo</w:t>
            </w:r>
          </w:p>
        </w:tc>
        <w:tc>
          <w:tcPr>
            <w:tcW w:w="52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Impacto no custo ou escopo</w:t>
            </w:r>
          </w:p>
        </w:tc>
      </w:tr>
      <w:tr>
        <w:trPr>
          <w:cantSplit/>
        </w:trPr>
        <w:tc>
          <w:tcPr>
            <w:tcW w:w="10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Muito baixa (até 10%)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Atraso de até 1 dia</w:t>
            </w:r>
          </w:p>
        </w:tc>
        <w:tc>
          <w:tcPr>
            <w:tcW w:w="52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Insignificante</w:t>
            </w:r>
          </w:p>
        </w:tc>
      </w:tr>
      <w:tr>
        <w:trPr>
          <w:cantSplit/>
        </w:trPr>
        <w:tc>
          <w:tcPr>
            <w:tcW w:w="10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Baixa (10–30%)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Até 1 semana</w:t>
            </w:r>
          </w:p>
        </w:tc>
        <w:tc>
          <w:tcPr>
            <w:tcW w:w="52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Pequeno, absorvível</w:t>
            </w:r>
          </w:p>
        </w:tc>
      </w:tr>
      <w:tr>
        <w:trPr>
          <w:cantSplit/>
        </w:trPr>
        <w:tc>
          <w:tcPr>
            <w:tcW w:w="10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Média (30–50%)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 a 2 semanas</w:t>
            </w:r>
          </w:p>
        </w:tc>
        <w:tc>
          <w:tcPr>
            <w:tcW w:w="52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Afeta uma entrega</w:t>
            </w:r>
          </w:p>
        </w:tc>
      </w:tr>
      <w:tr>
        <w:trPr>
          <w:cantSplit/>
        </w:trPr>
        <w:tc>
          <w:tcPr>
            <w:tcW w:w="10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4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Alta (50–70%)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Mais de 2 semanas</w:t>
            </w:r>
          </w:p>
        </w:tc>
        <w:tc>
          <w:tcPr>
            <w:tcW w:w="52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Afeta várias entregas</w:t>
            </w:r>
          </w:p>
        </w:tc>
      </w:tr>
      <w:tr>
        <w:trPr>
          <w:cantSplit/>
        </w:trPr>
        <w:tc>
          <w:tcPr>
            <w:tcW w:w="10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5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Muito alta (&gt; 70%)</w:t>
            </w:r>
          </w:p>
        </w:tc>
        <w:tc>
          <w:tcPr>
            <w:tcW w:w="419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Compromete a data final</w:t>
            </w:r>
          </w:p>
        </w:tc>
        <w:tc>
          <w:tcPr>
            <w:tcW w:w="52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Compromete o objetivo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jc w:val="lef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5040" w:type="dxa"/>
        <w:tblLayout w:type="fixed"/>
      </w:tblPr>
      <w:tblGrid>
        <w:gridCol w:w="840"/>
        <w:gridCol w:w="840"/>
        <w:gridCol w:w="840"/>
        <w:gridCol w:w="840"/>
        <w:gridCol w:w="840"/>
        <w:gridCol w:w="840"/>
      </w:tblGrid>
      <w:tr>
        <w:trPr>
          <w:trHeight w:val="520" w:hRule="atLeast"/>
        </w:trPr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P 5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5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10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FFFF00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1E1647"/>
                <w:sz w:val="20"/>
                <w:u w:val="none"/>
              </w:rPr>
              <w:t>15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FFFF00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1E1647"/>
                <w:sz w:val="20"/>
                <w:u w:val="none"/>
              </w:rPr>
              <w:t>20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FFFF00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1E1647"/>
                <w:sz w:val="20"/>
                <w:u w:val="none"/>
              </w:rPr>
              <w:t>25</w:t>
            </w:r>
          </w:p>
        </w:tc>
      </w:tr>
      <w:tr>
        <w:trPr>
          <w:trHeight w:val="520" w:hRule="atLeast"/>
        </w:trPr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P 4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4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8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12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FFFF00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1E1647"/>
                <w:sz w:val="20"/>
                <w:u w:val="none"/>
              </w:rPr>
              <w:t>16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FFFF00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1E1647"/>
                <w:sz w:val="20"/>
                <w:u w:val="none"/>
              </w:rPr>
              <w:t>20</w:t>
            </w:r>
          </w:p>
        </w:tc>
      </w:tr>
      <w:tr>
        <w:trPr>
          <w:trHeight w:val="520" w:hRule="atLeast"/>
        </w:trPr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P 3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3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6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9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12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FFFF00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1E1647"/>
                <w:sz w:val="20"/>
                <w:u w:val="none"/>
              </w:rPr>
              <w:t>15</w:t>
            </w:r>
          </w:p>
        </w:tc>
      </w:tr>
      <w:tr>
        <w:trPr>
          <w:trHeight w:val="520" w:hRule="atLeast"/>
        </w:trPr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P 2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2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4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6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8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10</w:t>
            </w:r>
          </w:p>
        </w:tc>
      </w:tr>
      <w:tr>
        <w:trPr>
          <w:trHeight w:val="520" w:hRule="atLeast"/>
        </w:trPr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P 1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1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2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3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4</w:t>
            </w:r>
          </w:p>
        </w:tc>
        <w:tc>
          <w:tcPr>
            <w:tcW w:w="840" w:type="dxa"/>
            <w:tcBorders>
              <w:top w:val="single" w:sz="6" w:space="0" w:color="614AD3"/>
              <w:left w:val="single" w:sz="6" w:space="0" w:color="614AD3"/>
              <w:bottom w:val="single" w:sz="6" w:space="0" w:color="614AD3"/>
              <w:right w:val="single" w:sz="6" w:space="0" w:color="614AD3"/>
            </w:tcBorders>
            <w:shd w:val="clear" w:color="auto" w:fill="614AD3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5</w:t>
            </w:r>
          </w:p>
        </w:tc>
      </w:tr>
      <w:tr>
        <w:trPr>
          <w:trHeight w:val="520" w:hRule="atLeast"/>
        </w:trPr>
        <w:tc>
          <w:tcPr>
            <w:tcW w:w="840" w:type="dxa"/>
          </w:tcPr>
          <w:p/>
        </w:tc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I 1</w:t>
            </w:r>
          </w:p>
        </w:tc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I 2</w:t>
            </w:r>
          </w:p>
        </w:tc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I 3</w:t>
            </w:r>
          </w:p>
        </w:tc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I 4</w:t>
            </w:r>
          </w:p>
        </w:tc>
        <w:tc>
          <w:tcPr>
            <w:tcW w:w="840" w:type="dxa"/>
          </w:tcPr>
          <w:p>
            <w:pPr>
              <w:spacing w:after="0" w:before="0"/>
              <w:ind w:firstLine="0"/>
              <w:jc w:val="center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00"/>
                <w:sz w:val="18"/>
                <w:u w:val="none"/>
              </w:rPr>
              <w:t>I 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  <w:numPr>
          <w:ilvl w:val="0"/>
          <w:numId w:val="90"/>
        </w:numPr>
      </w:pPr>
      <w:r>
        <w:rPr>
          <w:rFonts w:ascii="Lexend" w:hAnsi="Lexend" w:cs="Lexend" w:eastAsia="Lexend"/>
          <w:b w:val="0"/>
          <w:i w:val="0"/>
          <w:color w:val="FFFF00"/>
          <w:u w:val="none"/>
        </w:rPr>
        <w:t>15 a 25 · Alto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: resposta imediata.</w:t>
      </w:r>
    </w:p>
    <w:p>
      <w:pPr>
        <w:spacing w:after="60"/>
        <w:numPr>
          <w:ilvl w:val="0"/>
          <w:numId w:val="90"/>
        </w:numPr>
      </w:pPr>
      <w:r>
        <w:rPr>
          <w:rFonts w:ascii="Lexend SemiBold" w:hAnsi="Lexend SemiBold" w:cs="Lexend SemiBold" w:eastAsia="Lexend SemiBold"/>
          <w:b w:val="0"/>
          <w:i w:val="0"/>
          <w:color w:val="614AD3"/>
          <w:u w:val="none"/>
        </w:rPr>
        <w:t>5 a 12 · Médio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: plano de resposta e monitoramento.</w:t>
      </w:r>
    </w:p>
    <w:p>
      <w:pPr>
        <w:spacing w:after="60"/>
        <w:numPr>
          <w:ilvl w:val="0"/>
          <w:numId w:val="90"/>
        </w:numPr>
      </w:pPr>
      <w:r>
        <w:rPr>
          <w:rFonts w:ascii="Lexend" w:hAnsi="Lexend" w:cs="Lexend" w:eastAsia="Lexend"/>
          <w:b/>
          <w:i w:val="0"/>
          <w:color w:val="FFFFFF"/>
          <w:u w:val="none"/>
        </w:rPr>
        <w:t>1 a 4 · Baixo</w:t>
      </w:r>
      <w:r>
        <w:rPr>
          <w:rFonts w:ascii="Lexend" w:hAnsi="Lexend" w:cs="Lexend" w:eastAsia="Lexend"/>
          <w:b w:val="0"/>
          <w:i w:val="0"/>
          <w:color w:val="FFFFFF"/>
          <w:u w:val="none"/>
        </w:rPr>
        <w:t>: aceitar e observar.</w:t>
      </w:r>
    </w:p>
    <w:p>
      <w:pPr>
        <w:pStyle w:val="Heading1"/>
        <w:pageBreakBefore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⚠️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Riscos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526"/>
        <w:gridCol w:w="841"/>
        <w:gridCol w:w="1052"/>
        <w:gridCol w:w="2735"/>
        <w:gridCol w:w="946"/>
        <w:gridCol w:w="473"/>
        <w:gridCol w:w="473"/>
        <w:gridCol w:w="526"/>
        <w:gridCol w:w="789"/>
        <w:gridCol w:w="1052"/>
        <w:gridCol w:w="2104"/>
        <w:gridCol w:w="1052"/>
        <w:gridCol w:w="1262"/>
        <w:gridCol w:w="841"/>
      </w:tblGrid>
      <w:tr>
        <w:trPr>
          <w:tblHeader/>
        </w:trPr>
        <w:tc>
          <w:tcPr>
            <w:tcW w:w="52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8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05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Categoria</w:t>
            </w:r>
          </w:p>
        </w:tc>
        <w:tc>
          <w:tcPr>
            <w:tcW w:w="273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</w:t>
            </w:r>
          </w:p>
        </w:tc>
        <w:tc>
          <w:tcPr>
            <w:tcW w:w="9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47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</w:t>
            </w:r>
          </w:p>
        </w:tc>
        <w:tc>
          <w:tcPr>
            <w:tcW w:w="47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</w:t>
            </w:r>
          </w:p>
        </w:tc>
        <w:tc>
          <w:tcPr>
            <w:tcW w:w="52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P×I</w:t>
            </w:r>
          </w:p>
        </w:tc>
        <w:tc>
          <w:tcPr>
            <w:tcW w:w="78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Nível</w:t>
            </w:r>
          </w:p>
        </w:tc>
        <w:tc>
          <w:tcPr>
            <w:tcW w:w="105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Estratégia</w:t>
            </w:r>
          </w:p>
        </w:tc>
        <w:tc>
          <w:tcPr>
            <w:tcW w:w="210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Ações de resposta</w:t>
            </w:r>
          </w:p>
        </w:tc>
        <w:tc>
          <w:tcPr>
            <w:tcW w:w="105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26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Gatilho</w:t>
            </w:r>
          </w:p>
        </w:tc>
        <w:tc>
          <w:tcPr>
            <w:tcW w:w="8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Status</w:t>
            </w:r>
          </w:p>
        </w:tc>
      </w:tr>
      <w:tr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RI-01</w:t>
            </w: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causa → evento → efeito</w:t>
            </w: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26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735" w:type="dxa"/>
          </w:tcPr>
          <w:p>
            <w:pPr>
              <w:spacing w:after="0" w:before="0"/>
              <w:ind w:firstLine="0"/>
            </w:pPr>
          </w:p>
        </w:tc>
        <w:tc>
          <w:tcPr>
            <w:tcW w:w="946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473" w:type="dxa"/>
          </w:tcPr>
          <w:p>
            <w:pPr>
              <w:spacing w:after="0" w:before="0"/>
              <w:ind w:firstLine="0"/>
            </w:pPr>
          </w:p>
        </w:tc>
        <w:tc>
          <w:tcPr>
            <w:tcW w:w="526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78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2104" w:type="dxa"/>
          </w:tcPr>
          <w:p>
            <w:pPr>
              <w:spacing w:after="0" w:before="0"/>
              <w:ind w:firstLine="0"/>
            </w:pPr>
          </w:p>
        </w:tc>
        <w:tc>
          <w:tcPr>
            <w:tcW w:w="1052" w:type="dxa"/>
          </w:tcPr>
          <w:p>
            <w:pPr>
              <w:spacing w:after="0" w:before="0"/>
              <w:ind w:firstLine="0"/>
            </w:pPr>
          </w:p>
        </w:tc>
        <w:tc>
          <w:tcPr>
            <w:tcW w:w="1262" w:type="dxa"/>
          </w:tcPr>
          <w:p>
            <w:pPr>
              <w:spacing w:after="0" w:before="0"/>
              <w:ind w:firstLine="0"/>
            </w:pPr>
          </w:p>
        </w:tc>
        <w:tc>
          <w:tcPr>
            <w:tcW w:w="841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Riscos — for_code</dc:title>
  <dc:subject>Modelo 21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