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Project Model Canvas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 projeto inteiro em uma página, construído em grupo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03 · Iniciação · PMBOK: fora do PMBOK — Finocchio (2013)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Monte em uma oficina com a equipe, depois do Business Case e antes do TAP. Use notas curtas; preencha na ordem numerada (por quê → o quê → quem → como → quando e quanto).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03_project_model_canvas.pdf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01 Canvas de Ideação · 02 Business Case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04 Termo de Abertura do Projeto · 05 Registro de Premissas e Restrições · 06 Registro das Partes Interessadas · 21 Registro de Riscos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  <w:pageBreakBefore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🧩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Canvas do projeto</w:t>
      </w:r>
    </w:p>
    <w:p>
      <w:pPr>
        <w:spacing w:after="4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20"/>
          <w:u w:val="none"/>
        </w:rPr>
        <w:t>Por quê?  ·  O quê?  ·  Quem?  ·  Como?  ·  Quando e quanto?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5" w:type="dxa"/>
        <w:tblLayout w:type="fixed"/>
      </w:tblPr>
      <w:tblGrid>
        <w:gridCol w:w="2935"/>
        <w:gridCol w:w="2935"/>
        <w:gridCol w:w="2935"/>
        <w:gridCol w:w="2935"/>
        <w:gridCol w:w="2935"/>
      </w:tblGrid>
      <w:tr>
        <w:trPr>
          <w:trHeight w:val="1488" w:hRule="atLeast"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1. Justificativas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Problema atual (passado)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4. Produto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O que será entregue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6. Stakeholders externos e fatores externos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Quem ou o que afeta de fora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8. Premissas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O que se supõe verdadeiro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11. Riscos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Eventos incertos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</w:tr>
      <w:tr>
        <w:trPr>
          <w:trHeight w:val="1488" w:hRule="atLeast"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2. Objetivo SMART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Específico, mensurável, atingível, relevante, com prazo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  <w:vMerge w:val="restart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5. Requisitos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O que o produto precisa ter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  <w:vMerge w:val="restart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7. Equipe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Quem faz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9. Grupos de entregas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Substantivos, não verbos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12. Linha do tempo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Marcos principais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</w:tr>
      <w:tr>
        <w:trPr>
          <w:trHeight w:val="1488" w:hRule="atLeast"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3. Benefícios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O que melhora depois (futuro)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  <w:vMerge/>
          </w:tcPr>
          <w:p/>
        </w:tc>
        <w:tc>
          <w:tcPr>
            <w:tcW w:w="2935" w:type="dxa"/>
            <w:vMerge/>
          </w:tcPr>
          <w:p/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10. Restrições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Limites de prazo, custo, regra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13. Custos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Ordem de grandeza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sdt>
        <w:sdtPr>
          <w:rPr>
            <w:rFonts w:ascii="Segoe UI Symbol" w:hAnsi="Segoe UI Symbol" w:cs="Segoe UI Symbol" w:eastAsia="Segoe UI Symbol"/>
            <w:color w:val="FFFF00"/>
          </w:r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cs="Segoe UI Symbol" w:eastAsia="Segoe UI Symbol"/>
              <w:color w:val="614AD3"/>
              <w:sz w:val="22"/>
            </w:rPr>
            <w:t>☐</w:t>
          </w:r>
        </w:sdtContent>
      </w:sdt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 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O objetivo tem número e prazo.</w:t>
      </w:r>
    </w:p>
    <w:p>
      <w:pPr>
        <w:spacing w:after="60"/>
      </w:pPr>
      <w:sdt>
        <w:sdtPr>
          <w:rPr>
            <w:rFonts w:ascii="Segoe UI Symbol" w:hAnsi="Segoe UI Symbol" w:cs="Segoe UI Symbol" w:eastAsia="Segoe UI Symbol"/>
            <w:color w:val="FFFF00"/>
          </w:r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cs="Segoe UI Symbol" w:eastAsia="Segoe UI Symbol"/>
              <w:color w:val="614AD3"/>
              <w:sz w:val="22"/>
            </w:rPr>
            <w:t>☐</w:t>
          </w:r>
        </w:sdtContent>
      </w:sdt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 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Os grupos de entregas são substantivos.</w:t>
      </w:r>
    </w:p>
    <w:p>
      <w:pPr>
        <w:spacing w:after="60"/>
      </w:pPr>
      <w:sdt>
        <w:sdtPr>
          <w:rPr>
            <w:rFonts w:ascii="Segoe UI Symbol" w:hAnsi="Segoe UI Symbol" w:cs="Segoe UI Symbol" w:eastAsia="Segoe UI Symbol"/>
            <w:color w:val="FFFF00"/>
          </w:r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cs="Segoe UI Symbol" w:eastAsia="Segoe UI Symbol"/>
              <w:color w:val="614AD3"/>
              <w:sz w:val="22"/>
            </w:rPr>
            <w:t>☐</w:t>
          </w:r>
        </w:sdtContent>
      </w:sdt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 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Cada risco tem relação com uma premissa, restrição ou entrega.</w:t>
      </w:r>
    </w:p>
    <w:p>
      <w:pPr>
        <w:spacing w:after="60"/>
      </w:pPr>
      <w:sdt>
        <w:sdtPr>
          <w:rPr>
            <w:rFonts w:ascii="Segoe UI Symbol" w:hAnsi="Segoe UI Symbol" w:cs="Segoe UI Symbol" w:eastAsia="Segoe UI Symbol"/>
            <w:color w:val="FFFF00"/>
          </w:r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cs="Segoe UI Symbol" w:eastAsia="Segoe UI Symbol"/>
              <w:color w:val="614AD3"/>
              <w:sz w:val="22"/>
            </w:rPr>
            <w:t>☐</w:t>
          </w:r>
        </w:sdtContent>
      </w:sdt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 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O canvas será transformado em TAP.</w:t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Model Canvas — for_code</dc:title>
  <dc:subject>Modelo 03 · Iniciação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