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Plano de Comunicação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Quem recebe que informação, quando, por onde e de quem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FFFF00"/>
          <w:sz w:val="17"/>
          <w:u w:val="none"/>
        </w:rPr>
        <w:t>[ ESSENCIAL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23 · Planejamento · PMBOK: 10.1 Planejar o Gerenciamento das Comunicações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do Registro das Partes Interessadas e da RACI. Uma linha por comunicação; frequência realista para voluntários.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23_plano_de_comunicacao.pdf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06 Registro das Partes Interessadas · 07 Acordo da Equipe · 15 Matriz RACI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24 Plano de Engajamento das Partes Interessadas · 25 Plano de Gerenciamento do Projeto · 26 Ata de Reunião · 31 Relatório de Status do Projeto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📣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Comunicações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402"/>
        <w:gridCol w:w="2072"/>
        <w:gridCol w:w="2072"/>
        <w:gridCol w:w="1841"/>
        <w:gridCol w:w="1381"/>
        <w:gridCol w:w="1381"/>
        <w:gridCol w:w="1611"/>
        <w:gridCol w:w="1381"/>
        <w:gridCol w:w="1611"/>
        <w:gridCol w:w="920"/>
      </w:tblGrid>
      <w:tr>
        <w:trPr>
          <w:tblHeader/>
        </w:trPr>
        <w:tc>
          <w:tcPr>
            <w:tcW w:w="40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#</w:t>
            </w:r>
          </w:p>
        </w:tc>
        <w:tc>
          <w:tcPr>
            <w:tcW w:w="207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quê</w:t>
            </w:r>
          </w:p>
        </w:tc>
        <w:tc>
          <w:tcPr>
            <w:tcW w:w="207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Objetivo</w:t>
            </w:r>
          </w:p>
        </w:tc>
        <w:tc>
          <w:tcPr>
            <w:tcW w:w="184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Para quem</w:t>
            </w:r>
          </w:p>
        </w:tc>
        <w:tc>
          <w:tcPr>
            <w:tcW w:w="13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Quem envia</w:t>
            </w:r>
          </w:p>
        </w:tc>
        <w:tc>
          <w:tcPr>
            <w:tcW w:w="13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Canal</w:t>
            </w:r>
          </w:p>
        </w:tc>
        <w:tc>
          <w:tcPr>
            <w:tcW w:w="161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Formato ou modelo</w:t>
            </w:r>
          </w:p>
        </w:tc>
        <w:tc>
          <w:tcPr>
            <w:tcW w:w="138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Quando</w:t>
            </w:r>
          </w:p>
        </w:tc>
        <w:tc>
          <w:tcPr>
            <w:tcW w:w="161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Escalonamento</w:t>
            </w:r>
          </w:p>
        </w:tc>
        <w:tc>
          <w:tcPr>
            <w:tcW w:w="92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Confidencial?</w:t>
            </w:r>
          </w:p>
        </w:tc>
      </w:tr>
      <w:tr>
        <w:tc>
          <w:tcPr>
            <w:tcW w:w="40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frequência ou gatilho</w:t>
            </w: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se não houver resposta</w:t>
            </w: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3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4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5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6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7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8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9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40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10</w:t>
            </w: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2072" w:type="dxa"/>
          </w:tcPr>
          <w:p>
            <w:pPr>
              <w:spacing w:after="0" w:before="0"/>
              <w:ind w:firstLine="0"/>
            </w:pPr>
          </w:p>
        </w:tc>
        <w:tc>
          <w:tcPr>
            <w:tcW w:w="184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1381" w:type="dxa"/>
          </w:tcPr>
          <w:p>
            <w:pPr>
              <w:spacing w:after="0" w:before="0"/>
              <w:ind w:firstLine="0"/>
            </w:pPr>
          </w:p>
        </w:tc>
        <w:tc>
          <w:tcPr>
            <w:tcW w:w="1611" w:type="dxa"/>
          </w:tcPr>
          <w:p>
            <w:pPr>
              <w:spacing w:after="0" w:before="0"/>
              <w:ind w:firstLine="0"/>
            </w:pPr>
          </w:p>
        </w:tc>
        <w:tc>
          <w:tcPr>
            <w:tcW w:w="920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792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Glossário e convenções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Siglas, horários, idioma, padrões de nome de arquivo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Comunicação — for_code</dc:title>
  <dc:subject>Modelo 23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