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e9d8e75d6a6d4ba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09A73ED" w:rsidP="409A73ED" w:rsidRDefault="409A73ED" w14:paraId="68959314" w14:textId="01FC0950">
      <w:pPr>
        <w:spacing w:before="0" w:beforeAutospacing="off" w:after="0" w:afterAutospacing="off" w:line="480" w:lineRule="auto"/>
        <w:rPr>
          <w:rFonts w:ascii="Times New Roman" w:hAnsi="Times New Roman" w:eastAsia="Times New Roman" w:cs="Times New Roman"/>
          <w:b w:val="1"/>
          <w:bCs w:val="1"/>
          <w:noProof w:val="0"/>
          <w:sz w:val="20"/>
          <w:szCs w:val="20"/>
          <w:lang w:val="en"/>
        </w:rPr>
      </w:pPr>
    </w:p>
    <w:p w:rsidR="4233992C" w:rsidP="409A73ED" w:rsidRDefault="4233992C" w14:paraId="2D621B1B" w14:textId="459154BC">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 xml:space="preserve"> </w:t>
      </w:r>
    </w:p>
    <w:p w:rsidR="4233992C" w:rsidP="409A73ED" w:rsidRDefault="4233992C" w14:paraId="0363FE9D" w14:textId="501A26F0">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 xml:space="preserve"> </w:t>
      </w:r>
    </w:p>
    <w:p w:rsidR="409A73ED" w:rsidP="409A73ED" w:rsidRDefault="409A73ED" w14:paraId="3E162616" w14:textId="130DA9FE">
      <w:pPr>
        <w:pStyle w:val="Normal"/>
        <w:spacing w:before="0" w:beforeAutospacing="off" w:after="0" w:afterAutospacing="off" w:line="480" w:lineRule="auto"/>
        <w:rPr>
          <w:rFonts w:ascii="Times New Roman" w:hAnsi="Times New Roman" w:eastAsia="Times New Roman" w:cs="Times New Roman"/>
          <w:b w:val="1"/>
          <w:bCs w:val="1"/>
          <w:noProof w:val="0"/>
          <w:sz w:val="20"/>
          <w:szCs w:val="20"/>
          <w:lang w:val="en"/>
        </w:rPr>
      </w:pPr>
    </w:p>
    <w:p w:rsidR="409A73ED" w:rsidP="409A73ED" w:rsidRDefault="409A73ED" w14:paraId="5BC1BDFF" w14:textId="05D9C0C0">
      <w:pPr>
        <w:pStyle w:val="Normal"/>
        <w:spacing w:before="0" w:beforeAutospacing="off" w:after="0" w:afterAutospacing="off" w:line="480" w:lineRule="auto"/>
        <w:rPr>
          <w:rFonts w:ascii="Times New Roman" w:hAnsi="Times New Roman" w:eastAsia="Times New Roman" w:cs="Times New Roman"/>
          <w:b w:val="1"/>
          <w:bCs w:val="1"/>
          <w:noProof w:val="0"/>
          <w:sz w:val="20"/>
          <w:szCs w:val="20"/>
          <w:lang w:val="en"/>
        </w:rPr>
      </w:pPr>
    </w:p>
    <w:p w:rsidR="4233992C" w:rsidP="409A73ED" w:rsidRDefault="4233992C" w14:paraId="6406F2C0" w14:textId="006AA5FF">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 xml:space="preserve"> </w:t>
      </w:r>
    </w:p>
    <w:p w:rsidR="4233992C" w:rsidP="409A73ED" w:rsidRDefault="4233992C" w14:paraId="6CC3678B" w14:textId="6568AB07">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 xml:space="preserve"> </w:t>
      </w:r>
    </w:p>
    <w:p w:rsidR="4233992C" w:rsidP="409A73ED" w:rsidRDefault="4233992C" w14:paraId="60331212" w14:textId="484EB8B0">
      <w:pPr>
        <w:pStyle w:val="Normal"/>
        <w:spacing w:line="480" w:lineRule="auto"/>
        <w:jc w:val="center"/>
        <w:rPr>
          <w:rFonts w:ascii="Times New Roman" w:hAnsi="Times New Roman" w:eastAsia="Times New Roman" w:cs="Times New Roman"/>
          <w:b w:val="1"/>
          <w:bCs w:val="1"/>
          <w:noProof w:val="0"/>
          <w:sz w:val="24"/>
          <w:szCs w:val="24"/>
          <w:lang w:val="en"/>
        </w:rPr>
      </w:pPr>
      <w:r w:rsidRPr="409A73ED" w:rsidR="4233992C">
        <w:rPr>
          <w:rFonts w:ascii="Times New Roman" w:hAnsi="Times New Roman" w:eastAsia="Times New Roman" w:cs="Times New Roman"/>
          <w:b w:val="1"/>
          <w:bCs w:val="1"/>
          <w:noProof w:val="0"/>
          <w:sz w:val="22"/>
          <w:szCs w:val="22"/>
          <w:lang w:val="en"/>
        </w:rPr>
        <w:t xml:space="preserve"> </w:t>
      </w:r>
      <w:r w:rsidRPr="409A73ED" w:rsidR="3565BCB2">
        <w:rPr>
          <w:rFonts w:ascii="Times New Roman" w:hAnsi="Times New Roman" w:eastAsia="Times New Roman" w:cs="Times New Roman"/>
          <w:b w:val="1"/>
          <w:bCs w:val="1"/>
          <w:noProof w:val="0"/>
          <w:sz w:val="24"/>
          <w:szCs w:val="24"/>
          <w:lang w:val="en"/>
        </w:rPr>
        <w:t>Whether punishment for cybercrime should or should not be more</w:t>
      </w:r>
    </w:p>
    <w:p w:rsidR="409A73ED" w:rsidP="409A73ED" w:rsidRDefault="409A73ED" w14:paraId="469CA746" w14:textId="1590A956">
      <w:pPr>
        <w:pStyle w:val="Normal"/>
        <w:spacing w:line="480" w:lineRule="auto"/>
        <w:jc w:val="center"/>
        <w:rPr>
          <w:rFonts w:ascii="Times New Roman" w:hAnsi="Times New Roman" w:eastAsia="Times New Roman" w:cs="Times New Roman"/>
          <w:b w:val="1"/>
          <w:bCs w:val="1"/>
          <w:noProof w:val="0"/>
          <w:sz w:val="24"/>
          <w:szCs w:val="24"/>
          <w:lang w:val="en"/>
        </w:rPr>
      </w:pPr>
    </w:p>
    <w:p w:rsidR="1A0F4CCD" w:rsidP="409A73ED" w:rsidRDefault="1A0F4CCD" w14:paraId="18543A37" w14:textId="6279BDF0">
      <w:pPr>
        <w:pStyle w:val="Normal"/>
        <w:spacing w:line="480" w:lineRule="auto"/>
        <w:jc w:val="center"/>
      </w:pPr>
      <w:r w:rsidRPr="409A73ED" w:rsidR="1A0F4CCD">
        <w:rPr>
          <w:rFonts w:ascii="Times New Roman" w:hAnsi="Times New Roman" w:eastAsia="Times New Roman" w:cs="Times New Roman"/>
          <w:noProof w:val="0"/>
          <w:sz w:val="24"/>
          <w:szCs w:val="24"/>
          <w:lang w:val="en"/>
        </w:rPr>
        <w:t>The Pennsylvania State University</w:t>
      </w:r>
    </w:p>
    <w:p w:rsidR="1A0F4CCD" w:rsidP="409A73ED" w:rsidRDefault="1A0F4CCD" w14:paraId="1FC11C93" w14:textId="145FF6F1">
      <w:pPr>
        <w:pStyle w:val="Heading1"/>
        <w:spacing w:before="0" w:beforeAutospacing="off" w:after="322" w:afterAutospacing="off" w:line="480" w:lineRule="auto"/>
        <w:jc w:val="center"/>
        <w:rPr>
          <w:rFonts w:ascii="Times New Roman" w:hAnsi="Times New Roman" w:eastAsia="Times New Roman" w:cs="Times New Roman"/>
          <w:noProof w:val="0"/>
          <w:sz w:val="24"/>
          <w:szCs w:val="24"/>
          <w:lang w:val="en"/>
        </w:rPr>
      </w:pPr>
      <w:r w:rsidRPr="409A73ED" w:rsidR="1A0F4CCD">
        <w:rPr>
          <w:rFonts w:ascii="Times New Roman" w:hAnsi="Times New Roman" w:eastAsia="Times New Roman" w:cs="Times New Roman" w:asciiTheme="minorAscii" w:hAnsiTheme="minorAscii" w:eastAsiaTheme="minorEastAsia" w:cstheme="minorBidi"/>
          <w:noProof w:val="0"/>
          <w:color w:val="auto"/>
          <w:sz w:val="24"/>
          <w:szCs w:val="24"/>
          <w:lang w:val="en" w:eastAsia="ja-JP" w:bidi="ar-SA"/>
        </w:rPr>
        <w:t>I</w:t>
      </w:r>
      <w:r w:rsidRPr="409A73ED" w:rsidR="1A0F4CCD">
        <w:rPr>
          <w:rFonts w:ascii="Times New Roman" w:hAnsi="Times New Roman" w:eastAsia="Times New Roman" w:cs="Times New Roman" w:asciiTheme="minorAscii" w:hAnsiTheme="minorAscii" w:eastAsiaTheme="minorEastAsia" w:cstheme="minorBidi"/>
          <w:noProof w:val="0"/>
          <w:color w:val="auto"/>
          <w:sz w:val="24"/>
          <w:szCs w:val="24"/>
          <w:lang w:val="en" w:eastAsia="ja-JP" w:bidi="ar-SA"/>
        </w:rPr>
        <w:t>ST110: L12</w:t>
      </w:r>
      <w:r w:rsidRPr="409A73ED" w:rsidR="1A0F4CCD">
        <w:rPr>
          <w:rFonts w:ascii="Times New Roman" w:hAnsi="Times New Roman" w:eastAsia="Times New Roman" w:cs="Times New Roman" w:asciiTheme="minorAscii" w:hAnsiTheme="minorAscii" w:eastAsiaTheme="minorEastAsia" w:cstheme="minorBidi"/>
          <w:noProof w:val="0"/>
          <w:color w:val="auto"/>
          <w:sz w:val="24"/>
          <w:szCs w:val="24"/>
          <w:lang w:val="en" w:eastAsia="ja-JP" w:bidi="ar-SA"/>
        </w:rPr>
        <w:t xml:space="preserve"> Cybercrime Assignment</w:t>
      </w:r>
    </w:p>
    <w:p w:rsidR="409A73ED" w:rsidP="409A73ED" w:rsidRDefault="409A73ED" w14:paraId="744373FA" w14:textId="69C0E409">
      <w:pPr>
        <w:pStyle w:val="Normal"/>
        <w:spacing w:line="480" w:lineRule="auto"/>
        <w:rPr>
          <w:noProof w:val="0"/>
          <w:lang w:val="en"/>
        </w:rPr>
      </w:pPr>
    </w:p>
    <w:p w:rsidR="1A0F4CCD" w:rsidP="409A73ED" w:rsidRDefault="1A0F4CCD" w14:paraId="412FDB37" w14:textId="0D2BB342">
      <w:pPr>
        <w:pStyle w:val="Normal"/>
        <w:spacing w:line="480" w:lineRule="auto"/>
        <w:jc w:val="center"/>
        <w:rPr>
          <w:noProof w:val="0"/>
          <w:lang w:val="en"/>
        </w:rPr>
      </w:pPr>
      <w:r w:rsidRPr="409A73ED" w:rsidR="1A0F4CCD">
        <w:rPr>
          <w:noProof w:val="0"/>
          <w:lang w:val="en"/>
        </w:rPr>
        <w:t xml:space="preserve">April </w:t>
      </w:r>
      <w:r w:rsidRPr="409A73ED" w:rsidR="68CB9544">
        <w:rPr>
          <w:noProof w:val="0"/>
          <w:lang w:val="en"/>
        </w:rPr>
        <w:t>4, 2024</w:t>
      </w:r>
    </w:p>
    <w:p w:rsidR="409A73ED" w:rsidP="409A73ED" w:rsidRDefault="409A73ED" w14:paraId="06CAD727" w14:textId="3829444F">
      <w:pPr>
        <w:pStyle w:val="Normal"/>
        <w:spacing w:line="480" w:lineRule="auto"/>
        <w:jc w:val="center"/>
        <w:rPr>
          <w:rFonts w:ascii="Times New Roman" w:hAnsi="Times New Roman" w:eastAsia="Times New Roman" w:cs="Times New Roman"/>
          <w:noProof w:val="0"/>
          <w:sz w:val="24"/>
          <w:szCs w:val="24"/>
          <w:lang w:val="en"/>
        </w:rPr>
      </w:pPr>
    </w:p>
    <w:p w:rsidR="409A73ED" w:rsidP="409A73ED" w:rsidRDefault="409A73ED" w14:paraId="68BA793B" w14:textId="51D58277">
      <w:pPr>
        <w:pStyle w:val="Normal"/>
        <w:spacing w:before="0" w:beforeAutospacing="off" w:after="0" w:afterAutospacing="off" w:line="480" w:lineRule="auto"/>
        <w:jc w:val="center"/>
        <w:rPr>
          <w:rFonts w:ascii="Times New Roman" w:hAnsi="Times New Roman" w:eastAsia="Times New Roman" w:cs="Times New Roman"/>
          <w:b w:val="1"/>
          <w:bCs w:val="1"/>
          <w:noProof w:val="0"/>
          <w:sz w:val="20"/>
          <w:szCs w:val="20"/>
          <w:lang w:val="en"/>
        </w:rPr>
      </w:pPr>
    </w:p>
    <w:p w:rsidR="4233992C" w:rsidP="409A73ED" w:rsidRDefault="4233992C" w14:paraId="309A614E" w14:textId="0D340CA2">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 xml:space="preserve"> </w:t>
      </w:r>
    </w:p>
    <w:p w:rsidR="4233992C" w:rsidP="409A73ED" w:rsidRDefault="4233992C" w14:paraId="4DE80904" w14:textId="4C552716">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 xml:space="preserve"> </w:t>
      </w:r>
    </w:p>
    <w:p w:rsidR="4233992C" w:rsidP="409A73ED" w:rsidRDefault="4233992C" w14:paraId="68DD2006" w14:textId="4647D998">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 xml:space="preserve"> </w:t>
      </w:r>
    </w:p>
    <w:p w:rsidR="4233992C" w:rsidP="409A73ED" w:rsidRDefault="4233992C" w14:paraId="0A4EDA37" w14:textId="3571682F">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 xml:space="preserve"> </w:t>
      </w:r>
    </w:p>
    <w:p w:rsidR="4233992C" w:rsidP="409A73ED" w:rsidRDefault="4233992C" w14:paraId="40268CC0" w14:textId="124F1ABD">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 xml:space="preserve"> </w:t>
      </w:r>
    </w:p>
    <w:p w:rsidR="4233992C" w:rsidP="409A73ED" w:rsidRDefault="4233992C" w14:paraId="1EB83768" w14:textId="784FFE81">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 xml:space="preserve"> </w:t>
      </w:r>
    </w:p>
    <w:p w:rsidR="4233992C" w:rsidP="409A73ED" w:rsidRDefault="4233992C" w14:paraId="69B7A034" w14:textId="4E4C7842">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 xml:space="preserve"> </w:t>
      </w:r>
    </w:p>
    <w:p w:rsidR="409A73ED" w:rsidP="409A73ED" w:rsidRDefault="409A73ED" w14:paraId="1FC991EF" w14:textId="3599B6EB">
      <w:pPr>
        <w:spacing w:before="0" w:beforeAutospacing="off" w:after="0" w:afterAutospacing="off" w:line="480" w:lineRule="auto"/>
        <w:rPr>
          <w:rFonts w:ascii="Times New Roman" w:hAnsi="Times New Roman" w:eastAsia="Times New Roman" w:cs="Times New Roman"/>
          <w:b w:val="1"/>
          <w:bCs w:val="1"/>
          <w:noProof w:val="0"/>
          <w:sz w:val="20"/>
          <w:szCs w:val="20"/>
          <w:lang w:val="en"/>
        </w:rPr>
      </w:pPr>
    </w:p>
    <w:p w:rsidR="4233992C" w:rsidP="409A73ED" w:rsidRDefault="4233992C" w14:paraId="1835A8E2" w14:textId="3C7D25A3">
      <w:pPr>
        <w:spacing w:before="0" w:beforeAutospacing="off" w:after="0" w:afterAutospacing="off" w:line="480" w:lineRule="auto"/>
      </w:pPr>
      <w:r w:rsidRPr="409A73ED" w:rsidR="4233992C">
        <w:rPr>
          <w:rFonts w:ascii="Times New Roman" w:hAnsi="Times New Roman" w:eastAsia="Times New Roman" w:cs="Times New Roman"/>
          <w:b w:val="1"/>
          <w:bCs w:val="1"/>
          <w:noProof w:val="0"/>
          <w:sz w:val="20"/>
          <w:szCs w:val="20"/>
          <w:lang w:val="en"/>
        </w:rPr>
        <w:t>Topic:</w:t>
      </w:r>
      <w:r w:rsidRPr="409A73ED" w:rsidR="4233992C">
        <w:rPr>
          <w:rFonts w:ascii="Times New Roman" w:hAnsi="Times New Roman" w:eastAsia="Times New Roman" w:cs="Times New Roman"/>
          <w:noProof w:val="0"/>
          <w:sz w:val="20"/>
          <w:szCs w:val="20"/>
          <w:lang w:val="en"/>
        </w:rPr>
        <w:t xml:space="preserve"> Whether punishment for cybercrime should or should not be more</w:t>
      </w:r>
      <w:r w:rsidRPr="409A73ED" w:rsidR="0D5DC307">
        <w:rPr>
          <w:rFonts w:ascii="Times New Roman" w:hAnsi="Times New Roman" w:eastAsia="Times New Roman" w:cs="Times New Roman"/>
          <w:noProof w:val="0"/>
          <w:sz w:val="20"/>
          <w:szCs w:val="20"/>
          <w:lang w:val="en"/>
        </w:rPr>
        <w:t xml:space="preserve"> </w:t>
      </w:r>
      <w:r w:rsidRPr="409A73ED" w:rsidR="4233992C">
        <w:rPr>
          <w:rFonts w:ascii="Times New Roman" w:hAnsi="Times New Roman" w:eastAsia="Times New Roman" w:cs="Times New Roman"/>
          <w:noProof w:val="0"/>
          <w:sz w:val="20"/>
          <w:szCs w:val="20"/>
          <w:lang w:val="en"/>
        </w:rPr>
        <w:t>severe for repeat offenders; does it depend on what form of</w:t>
      </w:r>
      <w:r w:rsidRPr="409A73ED" w:rsidR="345E9851">
        <w:rPr>
          <w:rFonts w:ascii="Times New Roman" w:hAnsi="Times New Roman" w:eastAsia="Times New Roman" w:cs="Times New Roman"/>
          <w:noProof w:val="0"/>
          <w:sz w:val="20"/>
          <w:szCs w:val="20"/>
          <w:lang w:val="en"/>
        </w:rPr>
        <w:t xml:space="preserve"> </w:t>
      </w:r>
      <w:r w:rsidRPr="409A73ED" w:rsidR="4233992C">
        <w:rPr>
          <w:rFonts w:ascii="Times New Roman" w:hAnsi="Times New Roman" w:eastAsia="Times New Roman" w:cs="Times New Roman"/>
          <w:noProof w:val="0"/>
          <w:sz w:val="20"/>
          <w:szCs w:val="20"/>
          <w:lang w:val="en"/>
        </w:rPr>
        <w:t xml:space="preserve">cybercrime? </w:t>
      </w:r>
    </w:p>
    <w:p w:rsidR="4233992C" w:rsidP="409A73ED" w:rsidRDefault="4233992C" w14:paraId="49769D0B" w14:textId="55A7C4A1">
      <w:pPr>
        <w:spacing w:line="480" w:lineRule="auto"/>
      </w:pPr>
      <w:r w:rsidRPr="409A73ED" w:rsidR="4233992C">
        <w:rPr>
          <w:rFonts w:ascii="Times New Roman" w:hAnsi="Times New Roman" w:eastAsia="Times New Roman" w:cs="Times New Roman"/>
          <w:noProof w:val="0"/>
          <w:sz w:val="20"/>
          <w:szCs w:val="20"/>
          <w:lang w:val="en"/>
        </w:rPr>
        <w:t xml:space="preserve"> </w:t>
      </w:r>
    </w:p>
    <w:p w:rsidR="4233992C" w:rsidP="409A73ED" w:rsidRDefault="4233992C" w14:paraId="2EA613FF" w14:textId="2C3A5392">
      <w:pPr>
        <w:spacing w:line="480" w:lineRule="auto"/>
        <w:rPr>
          <w:rFonts w:ascii="Times New Roman" w:hAnsi="Times New Roman" w:eastAsia="Times New Roman" w:cs="Times New Roman"/>
          <w:noProof w:val="0"/>
          <w:sz w:val="20"/>
          <w:szCs w:val="20"/>
          <w:lang w:val="en"/>
        </w:rPr>
      </w:pPr>
      <w:r w:rsidRPr="409A73ED" w:rsidR="4233992C">
        <w:rPr>
          <w:rFonts w:ascii="Times New Roman" w:hAnsi="Times New Roman" w:eastAsia="Times New Roman" w:cs="Times New Roman"/>
          <w:noProof w:val="0"/>
          <w:sz w:val="20"/>
          <w:szCs w:val="20"/>
          <w:lang w:val="en"/>
        </w:rPr>
        <w:t xml:space="preserve">In the type of cybercrime, one of the disputable issues is if the punishment for repeat offenders should be made more severe. Punishment has various levels defined by the specific </w:t>
      </w:r>
      <w:r w:rsidRPr="409A73ED" w:rsidR="4233992C">
        <w:rPr>
          <w:rFonts w:ascii="Times New Roman" w:hAnsi="Times New Roman" w:eastAsia="Times New Roman" w:cs="Times New Roman"/>
          <w:noProof w:val="0"/>
          <w:sz w:val="20"/>
          <w:szCs w:val="20"/>
          <w:lang w:val="en"/>
        </w:rPr>
        <w:t>facet</w:t>
      </w:r>
      <w:r w:rsidRPr="409A73ED" w:rsidR="4233992C">
        <w:rPr>
          <w:rFonts w:ascii="Times New Roman" w:hAnsi="Times New Roman" w:eastAsia="Times New Roman" w:cs="Times New Roman"/>
          <w:noProof w:val="0"/>
          <w:sz w:val="20"/>
          <w:szCs w:val="20"/>
          <w:lang w:val="en"/>
        </w:rPr>
        <w:t xml:space="preserve"> of cybercrime and the extent of damage it brings about. This paper proposes that punishment for cyber criminals who commit repeated offenses should be severe with special emphasis on cases where a crime generates harm to individuals, </w:t>
      </w:r>
      <w:r w:rsidRPr="409A73ED" w:rsidR="237FEDBB">
        <w:rPr>
          <w:rFonts w:ascii="Times New Roman" w:hAnsi="Times New Roman" w:eastAsia="Times New Roman" w:cs="Times New Roman"/>
          <w:noProof w:val="0"/>
          <w:sz w:val="20"/>
          <w:szCs w:val="20"/>
          <w:lang w:val="en"/>
        </w:rPr>
        <w:t>organizations,</w:t>
      </w:r>
      <w:r w:rsidRPr="409A73ED" w:rsidR="4233992C">
        <w:rPr>
          <w:rFonts w:ascii="Times New Roman" w:hAnsi="Times New Roman" w:eastAsia="Times New Roman" w:cs="Times New Roman"/>
          <w:noProof w:val="0"/>
          <w:sz w:val="20"/>
          <w:szCs w:val="20"/>
          <w:lang w:val="en"/>
        </w:rPr>
        <w:t xml:space="preserve"> or society.</w:t>
      </w:r>
    </w:p>
    <w:p w:rsidR="4233992C" w:rsidP="409A73ED" w:rsidRDefault="4233992C" w14:paraId="2A59911E" w14:textId="4627737C">
      <w:pPr>
        <w:spacing w:line="480" w:lineRule="auto"/>
      </w:pPr>
      <w:r w:rsidRPr="409A73ED" w:rsidR="4233992C">
        <w:rPr>
          <w:rFonts w:ascii="Times New Roman" w:hAnsi="Times New Roman" w:eastAsia="Times New Roman" w:cs="Times New Roman"/>
          <w:noProof w:val="0"/>
          <w:sz w:val="20"/>
          <w:szCs w:val="20"/>
          <w:lang w:val="en"/>
        </w:rPr>
        <w:t xml:space="preserve"> </w:t>
      </w:r>
    </w:p>
    <w:p w:rsidR="4233992C" w:rsidP="409A73ED" w:rsidRDefault="4233992C" w14:paraId="0CE3A667" w14:textId="717EDC2F">
      <w:pPr>
        <w:spacing w:line="480" w:lineRule="auto"/>
        <w:rPr>
          <w:rFonts w:ascii="Times New Roman" w:hAnsi="Times New Roman" w:eastAsia="Times New Roman" w:cs="Times New Roman"/>
          <w:noProof w:val="0"/>
          <w:sz w:val="20"/>
          <w:szCs w:val="20"/>
          <w:lang w:val="en"/>
        </w:rPr>
      </w:pPr>
      <w:r w:rsidRPr="409A73ED" w:rsidR="4233992C">
        <w:rPr>
          <w:rFonts w:ascii="Times New Roman" w:hAnsi="Times New Roman" w:eastAsia="Times New Roman" w:cs="Times New Roman"/>
          <w:b w:val="1"/>
          <w:bCs w:val="1"/>
          <w:noProof w:val="0"/>
          <w:sz w:val="20"/>
          <w:szCs w:val="20"/>
          <w:lang w:val="en"/>
        </w:rPr>
        <w:t>Argument:</w:t>
      </w:r>
    </w:p>
    <w:p w:rsidR="4233992C" w:rsidP="409A73ED" w:rsidRDefault="4233992C" w14:paraId="7DFF870F" w14:textId="43CA2249">
      <w:pPr>
        <w:spacing w:line="480" w:lineRule="auto"/>
      </w:pPr>
      <w:r w:rsidRPr="409A73ED" w:rsidR="4233992C">
        <w:rPr>
          <w:rFonts w:ascii="Times New Roman" w:hAnsi="Times New Roman" w:eastAsia="Times New Roman" w:cs="Times New Roman"/>
          <w:noProof w:val="0"/>
          <w:sz w:val="20"/>
          <w:szCs w:val="20"/>
          <w:lang w:val="en"/>
        </w:rPr>
        <w:t xml:space="preserve">Punishment terms for repeat cybercrime offenders cannot be arched too high for all sorts of cybercrime. In its place, it should be more fitting to the exact particulars of the situation. To start with, as far as non-violent cybercrimes like hacking for personal gain or unauthorized access to network systems is concerned, rehabilitation will be the best method if it is a onetime offense of a first-time offender. Further, crime-related activities may be subjected to harsher punishments if there are multiple convictions or intervention attempts made previously </w:t>
      </w:r>
      <w:r w:rsidRPr="409A73ED" w:rsidR="667894A5">
        <w:rPr>
          <w:rFonts w:ascii="Times New Roman" w:hAnsi="Times New Roman" w:eastAsia="Times New Roman" w:cs="Times New Roman"/>
          <w:noProof w:val="0"/>
          <w:sz w:val="20"/>
          <w:szCs w:val="20"/>
          <w:lang w:val="en"/>
        </w:rPr>
        <w:t>to</w:t>
      </w:r>
      <w:r w:rsidRPr="409A73ED" w:rsidR="4233992C">
        <w:rPr>
          <w:rFonts w:ascii="Times New Roman" w:hAnsi="Times New Roman" w:eastAsia="Times New Roman" w:cs="Times New Roman"/>
          <w:noProof w:val="0"/>
          <w:sz w:val="20"/>
          <w:szCs w:val="20"/>
          <w:lang w:val="en"/>
        </w:rPr>
        <w:t xml:space="preserve"> deter future recidivism and safeguard the public (Holt &amp; Bossler, 2017).</w:t>
      </w:r>
    </w:p>
    <w:p w:rsidR="4233992C" w:rsidP="409A73ED" w:rsidRDefault="4233992C" w14:paraId="740A7CD3" w14:textId="2B49DC58">
      <w:pPr>
        <w:spacing w:line="480" w:lineRule="auto"/>
      </w:pPr>
      <w:r w:rsidRPr="409A73ED" w:rsidR="4233992C">
        <w:rPr>
          <w:rFonts w:ascii="Times New Roman" w:hAnsi="Times New Roman" w:eastAsia="Times New Roman" w:cs="Times New Roman"/>
          <w:noProof w:val="0"/>
          <w:sz w:val="20"/>
          <w:szCs w:val="20"/>
          <w:lang w:val="en"/>
        </w:rPr>
        <w:t>While in the instance of cybercrimes that are classified as posing a significant threat to public safety or national security, such as cyberterrorism or large-scale data theft, a more rigorous approach may be called for even for first time offenders. In such situations, the damage done by cybercrime is much more than what someone can afford to rehabilitate, and society has to take this kind of offense very strictly (</w:t>
      </w:r>
      <w:r w:rsidRPr="409A73ED" w:rsidR="4233992C">
        <w:rPr>
          <w:rFonts w:ascii="Times New Roman" w:hAnsi="Times New Roman" w:eastAsia="Times New Roman" w:cs="Times New Roman"/>
          <w:noProof w:val="0"/>
          <w:sz w:val="20"/>
          <w:szCs w:val="20"/>
          <w:lang w:val="en"/>
        </w:rPr>
        <w:t>Reyns</w:t>
      </w:r>
      <w:r w:rsidRPr="409A73ED" w:rsidR="4233992C">
        <w:rPr>
          <w:rFonts w:ascii="Times New Roman" w:hAnsi="Times New Roman" w:eastAsia="Times New Roman" w:cs="Times New Roman"/>
          <w:noProof w:val="0"/>
          <w:sz w:val="20"/>
          <w:szCs w:val="20"/>
          <w:lang w:val="en"/>
        </w:rPr>
        <w:t xml:space="preserve"> et al., 2019).</w:t>
      </w:r>
      <w:r w:rsidRPr="409A73ED" w:rsidR="4233992C">
        <w:rPr>
          <w:rFonts w:ascii="Times New Roman" w:hAnsi="Times New Roman" w:eastAsia="Times New Roman" w:cs="Times New Roman"/>
          <w:noProof w:val="0"/>
          <w:sz w:val="20"/>
          <w:szCs w:val="20"/>
          <w:lang w:val="en"/>
        </w:rPr>
        <w:t xml:space="preserve"> </w:t>
      </w:r>
    </w:p>
    <w:p w:rsidR="4233992C" w:rsidP="409A73ED" w:rsidRDefault="4233992C" w14:paraId="660458A3" w14:textId="2D891D00">
      <w:pPr>
        <w:spacing w:line="480" w:lineRule="auto"/>
      </w:pPr>
      <w:r w:rsidRPr="409A73ED" w:rsidR="4233992C">
        <w:rPr>
          <w:rFonts w:ascii="Times New Roman" w:hAnsi="Times New Roman" w:eastAsia="Times New Roman" w:cs="Times New Roman"/>
          <w:noProof w:val="0"/>
          <w:sz w:val="20"/>
          <w:szCs w:val="20"/>
          <w:lang w:val="en"/>
        </w:rPr>
        <w:t xml:space="preserve">For this argument, academics point to the indicators on recidivism among cybercriminals, which are substantiated in the body of research. Research evidence shows that traditional law enforcement methods used for cyber offenders might not work for the fear of plentiful victims while others deemphasize the need for criminals to go under specialized treatment and rehabilitation programs focusing on their specific needs for cyber offenders (Jaishankar, 2020). As in instance, there is research which was conducted and published by the Journal of Cybersecurity that showed reduction in the recidivism rates among cybercriminals and those who finished deferring with the specific intervention </w:t>
      </w:r>
      <w:r w:rsidRPr="409A73ED" w:rsidR="374F92A4">
        <w:rPr>
          <w:rFonts w:ascii="Times New Roman" w:hAnsi="Times New Roman" w:eastAsia="Times New Roman" w:cs="Times New Roman"/>
          <w:noProof w:val="0"/>
          <w:sz w:val="20"/>
          <w:szCs w:val="20"/>
          <w:lang w:val="en"/>
        </w:rPr>
        <w:t>programmers</w:t>
      </w:r>
      <w:r w:rsidRPr="409A73ED" w:rsidR="4233992C">
        <w:rPr>
          <w:rFonts w:ascii="Times New Roman" w:hAnsi="Times New Roman" w:eastAsia="Times New Roman" w:cs="Times New Roman"/>
          <w:noProof w:val="0"/>
          <w:sz w:val="20"/>
          <w:szCs w:val="20"/>
          <w:lang w:val="en"/>
        </w:rPr>
        <w:t xml:space="preserve"> which were focused on addressing the causes that lead to criminal behavior (Yar, 2013).</w:t>
      </w:r>
    </w:p>
    <w:p w:rsidR="4233992C" w:rsidP="409A73ED" w:rsidRDefault="4233992C" w14:paraId="4B1DC13D" w14:textId="076FAD3E">
      <w:pPr>
        <w:spacing w:line="480" w:lineRule="auto"/>
      </w:pPr>
      <w:r w:rsidRPr="409A73ED" w:rsidR="4233992C">
        <w:rPr>
          <w:rFonts w:ascii="Times New Roman" w:hAnsi="Times New Roman" w:eastAsia="Times New Roman" w:cs="Times New Roman"/>
          <w:noProof w:val="0"/>
          <w:sz w:val="20"/>
          <w:szCs w:val="20"/>
          <w:lang w:val="en"/>
        </w:rPr>
        <w:t xml:space="preserve"> </w:t>
      </w:r>
    </w:p>
    <w:p w:rsidR="4233992C" w:rsidP="409A73ED" w:rsidRDefault="4233992C" w14:paraId="0DF83BF7" w14:textId="561D3277">
      <w:pPr>
        <w:spacing w:line="480" w:lineRule="auto"/>
      </w:pPr>
      <w:r w:rsidRPr="409A73ED" w:rsidR="4233992C">
        <w:rPr>
          <w:rFonts w:ascii="Times New Roman" w:hAnsi="Times New Roman" w:eastAsia="Times New Roman" w:cs="Times New Roman"/>
          <w:b w:val="1"/>
          <w:bCs w:val="1"/>
          <w:noProof w:val="0"/>
          <w:sz w:val="20"/>
          <w:szCs w:val="20"/>
          <w:lang w:val="en"/>
        </w:rPr>
        <w:t>Counterargument:</w:t>
      </w:r>
    </w:p>
    <w:p w:rsidR="4233992C" w:rsidP="409A73ED" w:rsidRDefault="4233992C" w14:paraId="0DE16F5C" w14:textId="05DA3505">
      <w:pPr>
        <w:spacing w:line="480" w:lineRule="auto"/>
      </w:pPr>
      <w:r w:rsidRPr="409A73ED" w:rsidR="4233992C">
        <w:rPr>
          <w:rFonts w:ascii="Times New Roman" w:hAnsi="Times New Roman" w:eastAsia="Times New Roman" w:cs="Times New Roman"/>
          <w:noProof w:val="0"/>
          <w:sz w:val="20"/>
          <w:szCs w:val="20"/>
          <w:lang w:val="en"/>
        </w:rPr>
        <w:t xml:space="preserve">Individuals who will </w:t>
      </w:r>
      <w:r w:rsidRPr="409A73ED" w:rsidR="39ED0902">
        <w:rPr>
          <w:rFonts w:ascii="Times New Roman" w:hAnsi="Times New Roman" w:eastAsia="Times New Roman" w:cs="Times New Roman"/>
          <w:noProof w:val="0"/>
          <w:sz w:val="20"/>
          <w:szCs w:val="20"/>
          <w:lang w:val="en"/>
        </w:rPr>
        <w:t>protest</w:t>
      </w:r>
      <w:r w:rsidRPr="409A73ED" w:rsidR="4233992C">
        <w:rPr>
          <w:rFonts w:ascii="Times New Roman" w:hAnsi="Times New Roman" w:eastAsia="Times New Roman" w:cs="Times New Roman"/>
          <w:noProof w:val="0"/>
          <w:sz w:val="20"/>
          <w:szCs w:val="20"/>
          <w:lang w:val="en"/>
        </w:rPr>
        <w:t xml:space="preserve"> this approach may often allege that existence of the same punishment for several cybercrime offenders reveals that cybercrime behavior cannot be tolerated and that is a level of understanding which may be considered as a stronger deterrence. They may consider the leniency towards repeat offenders in relation to cybercrimes as a mistake and a clear </w:t>
      </w:r>
      <w:r w:rsidRPr="409A73ED" w:rsidR="4233992C">
        <w:rPr>
          <w:rFonts w:ascii="Times New Roman" w:hAnsi="Times New Roman" w:eastAsia="Times New Roman" w:cs="Times New Roman"/>
          <w:noProof w:val="0"/>
          <w:sz w:val="20"/>
          <w:szCs w:val="20"/>
          <w:lang w:val="en"/>
        </w:rPr>
        <w:t>indication</w:t>
      </w:r>
      <w:r w:rsidRPr="409A73ED" w:rsidR="4233992C">
        <w:rPr>
          <w:rFonts w:ascii="Times New Roman" w:hAnsi="Times New Roman" w:eastAsia="Times New Roman" w:cs="Times New Roman"/>
          <w:noProof w:val="0"/>
          <w:sz w:val="20"/>
          <w:szCs w:val="20"/>
          <w:lang w:val="en"/>
        </w:rPr>
        <w:t xml:space="preserve"> of how unserious the matter is, and it also provides loopholes which makes it hard to fully protect the victims.</w:t>
      </w:r>
    </w:p>
    <w:p w:rsidR="4233992C" w:rsidP="409A73ED" w:rsidRDefault="4233992C" w14:paraId="7F0D7603" w14:textId="74B212EF">
      <w:pPr>
        <w:spacing w:line="480" w:lineRule="auto"/>
        <w:rPr>
          <w:rFonts w:ascii="Times New Roman" w:hAnsi="Times New Roman" w:eastAsia="Times New Roman" w:cs="Times New Roman"/>
          <w:noProof w:val="0"/>
          <w:sz w:val="20"/>
          <w:szCs w:val="20"/>
          <w:lang w:val="en"/>
        </w:rPr>
      </w:pPr>
      <w:r w:rsidRPr="409A73ED" w:rsidR="4233992C">
        <w:rPr>
          <w:rFonts w:ascii="Times New Roman" w:hAnsi="Times New Roman" w:eastAsia="Times New Roman" w:cs="Times New Roman"/>
          <w:noProof w:val="0"/>
          <w:sz w:val="20"/>
          <w:szCs w:val="20"/>
          <w:lang w:val="en"/>
        </w:rPr>
        <w:t xml:space="preserve">Nevertheless, the opponents often take cybercrime scenarios in a narrow perspective and do not see different underlying reasons for this criminal activity. The toughest sanctions are imposed even if the extent of uniqueness of the case is not accounted for; therefore, this may lead to injustices and hamper the ability to strike the root causes of cyber criminality. </w:t>
      </w:r>
      <w:r w:rsidRPr="409A73ED" w:rsidR="4233992C">
        <w:rPr>
          <w:rFonts w:ascii="Times New Roman" w:hAnsi="Times New Roman" w:eastAsia="Times New Roman" w:cs="Times New Roman"/>
          <w:noProof w:val="0"/>
          <w:sz w:val="20"/>
          <w:szCs w:val="20"/>
          <w:lang w:val="en"/>
        </w:rPr>
        <w:t>Besides that, the single-solution-fits-all approach to punishments will not consider reformation and reintegration into society that could lead to a decrease in the number of re-offenders (Wall, 2018).</w:t>
      </w:r>
    </w:p>
    <w:p w:rsidR="4233992C" w:rsidP="409A73ED" w:rsidRDefault="4233992C" w14:paraId="290BE521" w14:textId="1C4FE7FA">
      <w:pPr>
        <w:spacing w:line="480" w:lineRule="auto"/>
      </w:pPr>
      <w:r w:rsidRPr="409A73ED" w:rsidR="4233992C">
        <w:rPr>
          <w:rFonts w:ascii="Times New Roman" w:hAnsi="Times New Roman" w:eastAsia="Times New Roman" w:cs="Times New Roman"/>
          <w:noProof w:val="0"/>
          <w:sz w:val="20"/>
          <w:szCs w:val="20"/>
          <w:lang w:val="en"/>
        </w:rPr>
        <w:t xml:space="preserve"> </w:t>
      </w:r>
    </w:p>
    <w:p w:rsidR="4233992C" w:rsidP="409A73ED" w:rsidRDefault="4233992C" w14:paraId="438BE518" w14:textId="01D98AE3">
      <w:pPr>
        <w:spacing w:line="480" w:lineRule="auto"/>
      </w:pPr>
      <w:r w:rsidRPr="409A73ED" w:rsidR="4233992C">
        <w:rPr>
          <w:rFonts w:ascii="Times New Roman" w:hAnsi="Times New Roman" w:eastAsia="Times New Roman" w:cs="Times New Roman"/>
          <w:b w:val="1"/>
          <w:bCs w:val="1"/>
          <w:noProof w:val="0"/>
          <w:sz w:val="20"/>
          <w:szCs w:val="20"/>
          <w:lang w:val="en"/>
        </w:rPr>
        <w:t>Conclusion:</w:t>
      </w:r>
    </w:p>
    <w:p w:rsidR="4233992C" w:rsidP="409A73ED" w:rsidRDefault="4233992C" w14:paraId="7AEBAB06" w14:textId="7A16A681">
      <w:pPr>
        <w:spacing w:line="480" w:lineRule="auto"/>
      </w:pPr>
      <w:r w:rsidRPr="409A73ED" w:rsidR="4233992C">
        <w:rPr>
          <w:rFonts w:ascii="Times New Roman" w:hAnsi="Times New Roman" w:eastAsia="Times New Roman" w:cs="Times New Roman"/>
          <w:noProof w:val="0"/>
          <w:sz w:val="20"/>
          <w:szCs w:val="20"/>
          <w:lang w:val="en"/>
        </w:rPr>
        <w:t xml:space="preserve"> </w:t>
      </w:r>
      <w:r w:rsidRPr="409A73ED" w:rsidR="44EE7953">
        <w:rPr>
          <w:rFonts w:ascii="Times New Roman" w:hAnsi="Times New Roman" w:eastAsia="Times New Roman" w:cs="Times New Roman"/>
          <w:noProof w:val="0"/>
          <w:sz w:val="20"/>
          <w:szCs w:val="20"/>
          <w:lang w:val="en"/>
        </w:rPr>
        <w:t>The</w:t>
      </w:r>
      <w:r w:rsidRPr="409A73ED" w:rsidR="4233992C">
        <w:rPr>
          <w:rFonts w:ascii="Times New Roman" w:hAnsi="Times New Roman" w:eastAsia="Times New Roman" w:cs="Times New Roman"/>
          <w:noProof w:val="0"/>
          <w:sz w:val="20"/>
          <w:szCs w:val="20"/>
          <w:lang w:val="en"/>
        </w:rPr>
        <w:t xml:space="preserve"> sentence for repeat cybercrime offenders should be </w:t>
      </w:r>
      <w:r w:rsidRPr="409A73ED" w:rsidR="4233992C">
        <w:rPr>
          <w:rFonts w:ascii="Times New Roman" w:hAnsi="Times New Roman" w:eastAsia="Times New Roman" w:cs="Times New Roman"/>
          <w:noProof w:val="0"/>
          <w:sz w:val="20"/>
          <w:szCs w:val="20"/>
          <w:lang w:val="en"/>
        </w:rPr>
        <w:t>determined</w:t>
      </w:r>
      <w:r w:rsidRPr="409A73ED" w:rsidR="4233992C">
        <w:rPr>
          <w:rFonts w:ascii="Times New Roman" w:hAnsi="Times New Roman" w:eastAsia="Times New Roman" w:cs="Times New Roman"/>
          <w:noProof w:val="0"/>
          <w:sz w:val="20"/>
          <w:szCs w:val="20"/>
          <w:lang w:val="en"/>
        </w:rPr>
        <w:t xml:space="preserve"> on a case-by-case basis, including the type and seriousness of cybercrime, prior criminal record, and opportunities for rehabilitation. Albeit there is no guarantee that a targeted approach will </w:t>
      </w:r>
      <w:r w:rsidRPr="409A73ED" w:rsidR="4233992C">
        <w:rPr>
          <w:rFonts w:ascii="Times New Roman" w:hAnsi="Times New Roman" w:eastAsia="Times New Roman" w:cs="Times New Roman"/>
          <w:noProof w:val="0"/>
          <w:sz w:val="20"/>
          <w:szCs w:val="20"/>
          <w:lang w:val="en"/>
        </w:rPr>
        <w:t>eliminate</w:t>
      </w:r>
      <w:r w:rsidRPr="409A73ED" w:rsidR="4233992C">
        <w:rPr>
          <w:rFonts w:ascii="Times New Roman" w:hAnsi="Times New Roman" w:eastAsia="Times New Roman" w:cs="Times New Roman"/>
          <w:noProof w:val="0"/>
          <w:sz w:val="20"/>
          <w:szCs w:val="20"/>
          <w:lang w:val="en"/>
        </w:rPr>
        <w:t xml:space="preserve"> re-offenders, it is a much more balanced and practical approach which not only is useful for solving cybercrime, but also for promoting society’s security as well. Through assessment of individual factors, psychological characteristics, and environmental considerations, which all influence the likelihood of future offending or harm to the individuals or institutions caused by cybercrime respectively, we </w:t>
      </w:r>
      <w:r w:rsidRPr="409A73ED" w:rsidR="1BA09CCC">
        <w:rPr>
          <w:rFonts w:ascii="Times New Roman" w:hAnsi="Times New Roman" w:eastAsia="Times New Roman" w:cs="Times New Roman"/>
          <w:noProof w:val="0"/>
          <w:sz w:val="20"/>
          <w:szCs w:val="20"/>
          <w:lang w:val="en"/>
        </w:rPr>
        <w:t>can</w:t>
      </w:r>
      <w:r w:rsidRPr="409A73ED" w:rsidR="4233992C">
        <w:rPr>
          <w:rFonts w:ascii="Times New Roman" w:hAnsi="Times New Roman" w:eastAsia="Times New Roman" w:cs="Times New Roman"/>
          <w:noProof w:val="0"/>
          <w:sz w:val="20"/>
          <w:szCs w:val="20"/>
          <w:lang w:val="en"/>
        </w:rPr>
        <w:t xml:space="preserve"> customize our interventions more effectively and prevent cybercrime more often.</w:t>
      </w:r>
    </w:p>
    <w:p w:rsidR="4233992C" w:rsidP="409A73ED" w:rsidRDefault="4233992C" w14:paraId="3778D9D7" w14:textId="729AC970">
      <w:pPr>
        <w:spacing w:line="480" w:lineRule="auto"/>
        <w:ind w:left="720" w:hanging="720"/>
        <w:rPr>
          <w:rFonts w:ascii="Arial" w:hAnsi="Arial" w:eastAsia="Arial" w:cs="Arial"/>
          <w:noProof w:val="0"/>
          <w:sz w:val="22"/>
          <w:szCs w:val="22"/>
          <w:lang w:val="en"/>
        </w:rPr>
      </w:pPr>
      <w:sdt>
        <w:sdtPr>
          <w:id w:val="132002733"/>
          <w15:appearance w15:val="hidden"/>
          <w:tag w:val="tii-similarity-SU5URVJORVRfd3d3LmJhcnRsZWJ5LmNvbQ=="/>
          <w:placeholder>
            <w:docPart w:val="DefaultPlaceholder_1081868574"/>
          </w:placeholder>
        </w:sdtPr>
        <w:sdtContent>
          <w:r w:rsidRPr="409A73ED" w:rsidR="4233992C">
            <w:rPr>
              <w:rFonts w:ascii="Arial" w:hAnsi="Arial" w:eastAsia="Arial" w:cs="Arial"/>
              <w:b w:val="0"/>
              <w:bCs w:val="0"/>
              <w:noProof w:val="0"/>
              <w:sz w:val="22"/>
              <w:szCs w:val="22"/>
              <w:lang w:val="en"/>
            </w:rPr>
            <w:t>References:</w:t>
          </w:r>
        </w:sdtContent>
      </w:sdt>
      <w:r w:rsidRPr="409A73ED" w:rsidR="4233992C">
        <w:rPr>
          <w:rFonts w:ascii="Arial" w:hAnsi="Arial" w:eastAsia="Arial" w:cs="Arial"/>
          <w:noProof w:val="0"/>
          <w:sz w:val="22"/>
          <w:szCs w:val="22"/>
          <w:lang w:val="en"/>
        </w:rPr>
        <w:t xml:space="preserve"> </w:t>
      </w:r>
      <w:r>
        <w:br/>
      </w:r>
    </w:p>
    <w:p w:rsidR="4233992C" w:rsidP="409A73ED" w:rsidRDefault="4233992C" w14:paraId="72377CFB" w14:textId="649977D6">
      <w:pPr>
        <w:spacing w:line="480" w:lineRule="auto"/>
        <w:ind w:left="720" w:hanging="720"/>
        <w:rPr>
          <w:rFonts w:ascii="Arial" w:hAnsi="Arial" w:eastAsia="Arial" w:cs="Arial"/>
          <w:noProof w:val="0"/>
          <w:sz w:val="22"/>
          <w:szCs w:val="22"/>
          <w:lang w:val="en"/>
        </w:rPr>
      </w:pPr>
      <w:sdt>
        <w:sdtPr>
          <w:id w:val="1528300945"/>
          <w15:appearance w15:val="hidden"/>
          <w:tag w:val="tii-similarity-SU5URVJORVRfd3d3LmJhcnRsZWJ5LmNvbQ=="/>
          <w:placeholder>
            <w:docPart w:val="DefaultPlaceholder_1081868574"/>
          </w:placeholder>
        </w:sdtPr>
        <w:sdtContent>
          <w:r w:rsidRPr="409A73ED" w:rsidR="4233992C">
            <w:rPr>
              <w:rFonts w:ascii="Arial" w:hAnsi="Arial" w:eastAsia="Arial" w:cs="Arial"/>
              <w:b w:val="0"/>
              <w:bCs w:val="0"/>
              <w:noProof w:val="0"/>
              <w:sz w:val="22"/>
              <w:szCs w:val="22"/>
              <w:lang w:val="en"/>
            </w:rPr>
            <w:t>Holt, T. J., &amp; Bossler, A. M</w:t>
          </w:r>
        </w:sdtContent>
      </w:sdt>
      <w:r w:rsidRPr="409A73ED" w:rsidR="4233992C">
        <w:rPr>
          <w:rFonts w:ascii="Arial" w:hAnsi="Arial" w:eastAsia="Arial" w:cs="Arial"/>
          <w:noProof w:val="0"/>
          <w:sz w:val="22"/>
          <w:szCs w:val="22"/>
          <w:lang w:val="en"/>
        </w:rPr>
        <w:t xml:space="preserve">. (2017). </w:t>
      </w:r>
      <w:sdt>
        <w:sdtPr>
          <w:id w:val="702279245"/>
          <w15:appearance w15:val="hidden"/>
          <w:tag w:val="tii-similarity-SU5URVJORVRfd3d3LmJhcnRsZWJ5LmNvbQ=="/>
          <w:placeholder>
            <w:docPart w:val="DefaultPlaceholder_1081868574"/>
          </w:placeholder>
        </w:sdtPr>
        <w:sdtContent>
          <w:r w:rsidRPr="409A73ED" w:rsidR="4233992C">
            <w:rPr>
              <w:rFonts w:ascii="Arial" w:hAnsi="Arial" w:eastAsia="Arial" w:cs="Arial"/>
              <w:b w:val="0"/>
              <w:bCs w:val="0"/>
              <w:noProof w:val="0"/>
              <w:sz w:val="22"/>
              <w:szCs w:val="22"/>
              <w:lang w:val="en"/>
            </w:rPr>
            <w:t>Cybercrime in Progress: Theory and Prevention of</w:t>
          </w:r>
        </w:sdtContent>
      </w:sdt>
      <w:r w:rsidRPr="409A73ED" w:rsidR="4233992C">
        <w:rPr>
          <w:rFonts w:ascii="Arial" w:hAnsi="Arial" w:eastAsia="Arial" w:cs="Arial"/>
          <w:noProof w:val="0"/>
          <w:sz w:val="22"/>
          <w:szCs w:val="22"/>
          <w:lang w:val="en"/>
        </w:rPr>
        <w:t xml:space="preserve"> </w:t>
      </w:r>
      <w:sdt>
        <w:sdtPr>
          <w:id w:val="1774051327"/>
          <w15:appearance w15:val="hidden"/>
          <w:tag w:val="tii-similarity-SU5URVJORVRfd3d3LmJhcnRsZWJ5LmNvbQ=="/>
          <w:placeholder>
            <w:docPart w:val="DefaultPlaceholder_1081868574"/>
          </w:placeholder>
        </w:sdtPr>
        <w:sdtContent>
          <w:r w:rsidRPr="409A73ED" w:rsidR="4233992C">
            <w:rPr>
              <w:rFonts w:ascii="Arial" w:hAnsi="Arial" w:eastAsia="Arial" w:cs="Arial"/>
              <w:b w:val="0"/>
              <w:bCs w:val="0"/>
              <w:noProof w:val="0"/>
              <w:sz w:val="22"/>
              <w:szCs w:val="22"/>
              <w:lang w:val="en"/>
            </w:rPr>
            <w:t>Technology-Enabled Offenses. Routledge.</w:t>
          </w:r>
        </w:sdtContent>
      </w:sdt>
    </w:p>
    <w:p w:rsidR="4233992C" w:rsidP="409A73ED" w:rsidRDefault="4233992C" w14:paraId="3A5507FF" w14:textId="13236BF0">
      <w:pPr>
        <w:spacing w:line="480" w:lineRule="auto"/>
        <w:ind w:left="720" w:hanging="720"/>
      </w:pPr>
      <w:r w:rsidRPr="409A73ED" w:rsidR="4233992C">
        <w:rPr>
          <w:rFonts w:ascii="Arial" w:hAnsi="Arial" w:eastAsia="Arial" w:cs="Arial"/>
          <w:noProof w:val="0"/>
          <w:sz w:val="22"/>
          <w:szCs w:val="22"/>
          <w:lang w:val="en"/>
        </w:rPr>
        <w:t xml:space="preserve"> </w:t>
      </w:r>
    </w:p>
    <w:p w:rsidR="4233992C" w:rsidP="409A73ED" w:rsidRDefault="4233992C" w14:paraId="76135965" w14:textId="7C3E1081">
      <w:pPr>
        <w:spacing w:line="480" w:lineRule="auto"/>
        <w:ind w:left="720" w:hanging="720"/>
      </w:pPr>
      <w:bookmarkStart w:name="_Int_o6fMyPoz" w:id="2005468960"/>
      <w:sdt>
        <w:sdtPr>
          <w:id w:val="1697167575"/>
          <w15:appearance w15:val="hidden"/>
          <w:tag w:val="tii-similarity-SU5URVJORVRfd3d3LmJhcnRsZWJ5LmNvbQ=="/>
          <w:placeholder>
            <w:docPart w:val="DefaultPlaceholder_1081868574"/>
          </w:placeholder>
        </w:sdtPr>
        <w:sdtContent>
          <w:r w:rsidRPr="409A73ED" w:rsidR="4233992C">
            <w:rPr>
              <w:rFonts w:ascii="Arial" w:hAnsi="Arial" w:eastAsia="Arial" w:cs="Arial"/>
              <w:b w:val="0"/>
              <w:bCs w:val="0"/>
              <w:noProof w:val="0"/>
              <w:sz w:val="22"/>
              <w:szCs w:val="22"/>
              <w:lang w:val="en"/>
            </w:rPr>
            <w:t>Reyns</w:t>
          </w:r>
          <w:bookmarkEnd w:id="2005468960"/>
          <w:r w:rsidRPr="409A73ED" w:rsidR="4233992C">
            <w:rPr>
              <w:rFonts w:ascii="Arial" w:hAnsi="Arial" w:eastAsia="Arial" w:cs="Arial"/>
              <w:b w:val="0"/>
              <w:bCs w:val="0"/>
              <w:noProof w:val="0"/>
              <w:sz w:val="22"/>
              <w:szCs w:val="22"/>
              <w:lang w:val="en"/>
            </w:rPr>
            <w:t>, B. W</w:t>
          </w:r>
        </w:sdtContent>
      </w:sdt>
      <w:r w:rsidRPr="409A73ED" w:rsidR="4233992C">
        <w:rPr>
          <w:rFonts w:ascii="Arial" w:hAnsi="Arial" w:eastAsia="Arial" w:cs="Arial"/>
          <w:noProof w:val="0"/>
          <w:sz w:val="22"/>
          <w:szCs w:val="22"/>
          <w:lang w:val="en"/>
        </w:rPr>
        <w:t>., Henson, B., &amp; Fisher, B. S. (2019). Cybercrime Victimization and Offending. Annual Review of Criminology, 2(1), 271-293.</w:t>
      </w:r>
    </w:p>
    <w:p w:rsidR="4233992C" w:rsidP="409A73ED" w:rsidRDefault="4233992C" w14:paraId="3C831397" w14:textId="4717A1D2">
      <w:pPr>
        <w:spacing w:line="480" w:lineRule="auto"/>
        <w:ind w:left="720" w:hanging="720"/>
      </w:pPr>
      <w:r w:rsidRPr="409A73ED" w:rsidR="4233992C">
        <w:rPr>
          <w:rFonts w:ascii="Arial" w:hAnsi="Arial" w:eastAsia="Arial" w:cs="Arial"/>
          <w:noProof w:val="0"/>
          <w:sz w:val="22"/>
          <w:szCs w:val="22"/>
          <w:lang w:val="en"/>
        </w:rPr>
        <w:t xml:space="preserve"> </w:t>
      </w:r>
    </w:p>
    <w:p w:rsidR="4233992C" w:rsidP="409A73ED" w:rsidRDefault="4233992C" w14:paraId="21B40749" w14:textId="2204BCB7">
      <w:pPr>
        <w:spacing w:line="480" w:lineRule="auto"/>
        <w:ind w:left="720" w:hanging="720"/>
      </w:pPr>
      <w:r w:rsidRPr="409A73ED" w:rsidR="4233992C">
        <w:rPr>
          <w:rFonts w:ascii="Arial" w:hAnsi="Arial" w:eastAsia="Arial" w:cs="Arial"/>
          <w:noProof w:val="0"/>
          <w:sz w:val="22"/>
          <w:szCs w:val="22"/>
          <w:lang w:val="en"/>
        </w:rPr>
        <w:t xml:space="preserve">Jaishankar, K. (Ed.). (2020). </w:t>
      </w:r>
      <w:sdt>
        <w:sdtPr>
          <w:id w:val="1784282396"/>
          <w15:appearance w15:val="hidden"/>
          <w:tag w:val="tii-similarity-SU5URVJORVRfd3d3LmVqYy1yZWVwcy5jb20="/>
          <w:placeholder>
            <w:docPart w:val="DefaultPlaceholder_1081868574"/>
          </w:placeholder>
        </w:sdtPr>
        <w:sdtContent>
          <w:r w:rsidRPr="409A73ED" w:rsidR="4233992C">
            <w:rPr>
              <w:rFonts w:ascii="Arial" w:hAnsi="Arial" w:eastAsia="Arial" w:cs="Arial"/>
              <w:b w:val="0"/>
              <w:bCs w:val="0"/>
              <w:noProof w:val="0"/>
              <w:sz w:val="22"/>
              <w:szCs w:val="22"/>
              <w:lang w:val="en"/>
            </w:rPr>
            <w:t>Global Criminology: Crime and Victimization in a</w:t>
          </w:r>
        </w:sdtContent>
      </w:sdt>
      <w:r w:rsidRPr="409A73ED" w:rsidR="4233992C">
        <w:rPr>
          <w:rFonts w:ascii="Arial" w:hAnsi="Arial" w:eastAsia="Arial" w:cs="Arial"/>
          <w:noProof w:val="0"/>
          <w:sz w:val="22"/>
          <w:szCs w:val="22"/>
          <w:lang w:val="en"/>
        </w:rPr>
        <w:t xml:space="preserve"> </w:t>
      </w:r>
      <w:sdt>
        <w:sdtPr>
          <w:id w:val="559820885"/>
          <w15:appearance w15:val="hidden"/>
          <w:tag w:val="tii-similarity-SU5URVJORVRfd3d3LmVqYy1yZWVwcy5jb20="/>
          <w:placeholder>
            <w:docPart w:val="DefaultPlaceholder_1081868574"/>
          </w:placeholder>
        </w:sdtPr>
        <w:sdtContent>
          <w:r w:rsidRPr="409A73ED" w:rsidR="4233992C">
            <w:rPr>
              <w:rFonts w:ascii="Arial" w:hAnsi="Arial" w:eastAsia="Arial" w:cs="Arial"/>
              <w:b w:val="0"/>
              <w:bCs w:val="0"/>
              <w:noProof w:val="0"/>
              <w:sz w:val="22"/>
              <w:szCs w:val="22"/>
              <w:lang w:val="en"/>
            </w:rPr>
            <w:t>Globalized Era. CRC Press</w:t>
          </w:r>
        </w:sdtContent>
      </w:sdt>
      <w:r w:rsidRPr="409A73ED" w:rsidR="4233992C">
        <w:rPr>
          <w:rFonts w:ascii="Arial" w:hAnsi="Arial" w:eastAsia="Arial" w:cs="Arial"/>
          <w:noProof w:val="0"/>
          <w:sz w:val="22"/>
          <w:szCs w:val="22"/>
          <w:lang w:val="en"/>
        </w:rPr>
        <w:t>.</w:t>
      </w:r>
    </w:p>
    <w:p w:rsidR="4233992C" w:rsidP="409A73ED" w:rsidRDefault="4233992C" w14:paraId="5B00AD22" w14:textId="2035F176">
      <w:pPr>
        <w:spacing w:line="480" w:lineRule="auto"/>
        <w:ind w:left="720" w:hanging="720"/>
      </w:pPr>
      <w:r w:rsidRPr="409A73ED" w:rsidR="4233992C">
        <w:rPr>
          <w:rFonts w:ascii="Arial" w:hAnsi="Arial" w:eastAsia="Arial" w:cs="Arial"/>
          <w:noProof w:val="0"/>
          <w:sz w:val="22"/>
          <w:szCs w:val="22"/>
          <w:lang w:val="en"/>
        </w:rPr>
        <w:t xml:space="preserve"> </w:t>
      </w:r>
    </w:p>
    <w:p w:rsidR="4233992C" w:rsidP="409A73ED" w:rsidRDefault="4233992C" w14:paraId="760E213E" w14:textId="75B26DA8">
      <w:pPr>
        <w:spacing w:line="480" w:lineRule="auto"/>
        <w:ind w:left="720" w:hanging="720"/>
        <w:rPr>
          <w:rFonts w:ascii="Arial" w:hAnsi="Arial" w:eastAsia="Arial" w:cs="Arial"/>
          <w:noProof w:val="0"/>
          <w:sz w:val="22"/>
          <w:szCs w:val="22"/>
          <w:lang w:val="en"/>
        </w:rPr>
      </w:pPr>
      <w:r w:rsidRPr="409A73ED" w:rsidR="4233992C">
        <w:rPr>
          <w:rFonts w:ascii="Arial" w:hAnsi="Arial" w:eastAsia="Arial" w:cs="Arial"/>
          <w:noProof w:val="0"/>
          <w:sz w:val="22"/>
          <w:szCs w:val="22"/>
          <w:lang w:val="en"/>
        </w:rPr>
        <w:t xml:space="preserve">Yar, M. (2013). Cybercrime and Society. </w:t>
      </w:r>
      <w:sdt>
        <w:sdtPr>
          <w:id w:val="1588265547"/>
          <w15:appearance w15:val="hidden"/>
          <w:tag w:val="tii-similarity-U1VCTUlUVEVEX1dPUktfb2lkOjE6NDQxOTI0MzU0"/>
          <w:placeholder>
            <w:docPart w:val="DefaultPlaceholder_1081868574"/>
          </w:placeholder>
        </w:sdtPr>
        <w:sdtContent>
          <w:r w:rsidRPr="409A73ED" w:rsidR="4233992C">
            <w:rPr>
              <w:rFonts w:ascii="Arial" w:hAnsi="Arial" w:eastAsia="Arial" w:cs="Arial"/>
              <w:b w:val="0"/>
              <w:bCs w:val="0"/>
              <w:noProof w:val="0"/>
              <w:sz w:val="22"/>
              <w:szCs w:val="22"/>
              <w:lang w:val="en"/>
            </w:rPr>
            <w:t>SAGE Publications.</w:t>
          </w:r>
        </w:sdtContent>
      </w:sdt>
    </w:p>
    <w:p w:rsidR="4233992C" w:rsidP="409A73ED" w:rsidRDefault="4233992C" w14:paraId="3A486CCE" w14:textId="0EAEA2F8">
      <w:pPr>
        <w:spacing w:line="480" w:lineRule="auto"/>
        <w:ind w:left="720" w:hanging="720"/>
      </w:pPr>
      <w:r w:rsidRPr="409A73ED" w:rsidR="4233992C">
        <w:rPr>
          <w:rFonts w:ascii="Arial" w:hAnsi="Arial" w:eastAsia="Arial" w:cs="Arial"/>
          <w:noProof w:val="0"/>
          <w:sz w:val="22"/>
          <w:szCs w:val="22"/>
          <w:lang w:val="en"/>
        </w:rPr>
        <w:t xml:space="preserve"> </w:t>
      </w:r>
    </w:p>
    <w:p w:rsidR="4233992C" w:rsidP="409A73ED" w:rsidRDefault="4233992C" w14:paraId="17017A20" w14:textId="11E6CFED">
      <w:pPr>
        <w:spacing w:line="480" w:lineRule="auto"/>
        <w:ind w:left="720" w:hanging="720"/>
      </w:pPr>
      <w:sdt>
        <w:sdtPr>
          <w:id w:val="702064341"/>
          <w15:appearance w15:val="hidden"/>
          <w:tag w:val="tii-similarity-U1VCTUlUVEVEX1dPUktfb2lkOjE6NDQxOTI0MzU0"/>
          <w:placeholder>
            <w:docPart w:val="DefaultPlaceholder_1081868574"/>
          </w:placeholder>
        </w:sdtPr>
        <w:sdtContent>
          <w:r w:rsidRPr="409A73ED" w:rsidR="4233992C">
            <w:rPr>
              <w:rFonts w:ascii="Arial" w:hAnsi="Arial" w:eastAsia="Arial" w:cs="Arial"/>
              <w:b w:val="0"/>
              <w:bCs w:val="0"/>
              <w:noProof w:val="0"/>
              <w:sz w:val="22"/>
              <w:szCs w:val="22"/>
              <w:lang w:val="en"/>
            </w:rPr>
            <w:t>Wall, D. S</w:t>
          </w:r>
        </w:sdtContent>
      </w:sdt>
      <w:r w:rsidRPr="409A73ED" w:rsidR="4233992C">
        <w:rPr>
          <w:rFonts w:ascii="Arial" w:hAnsi="Arial" w:eastAsia="Arial" w:cs="Arial"/>
          <w:noProof w:val="0"/>
          <w:sz w:val="22"/>
          <w:szCs w:val="22"/>
          <w:lang w:val="en"/>
        </w:rPr>
        <w:t xml:space="preserve">. (2018). </w:t>
      </w:r>
      <w:sdt>
        <w:sdtPr>
          <w:id w:val="1128352624"/>
          <w15:appearance w15:val="hidden"/>
          <w:tag w:val="tii-similarity-U1VCTUlUVEVEX1dPUktfb2lkOjE6NDQxOTI0MzU0"/>
          <w:placeholder>
            <w:docPart w:val="DefaultPlaceholder_1081868574"/>
          </w:placeholder>
        </w:sdtPr>
        <w:sdtContent>
          <w:r w:rsidRPr="409A73ED" w:rsidR="4233992C">
            <w:rPr>
              <w:rFonts w:ascii="Arial" w:hAnsi="Arial" w:eastAsia="Arial" w:cs="Arial"/>
              <w:b w:val="0"/>
              <w:bCs w:val="0"/>
              <w:noProof w:val="0"/>
              <w:sz w:val="22"/>
              <w:szCs w:val="22"/>
              <w:lang w:val="en"/>
            </w:rPr>
            <w:t>Cybercrime and the Culture of Fear: Social Science Fiction(s) and</w:t>
          </w:r>
        </w:sdtContent>
      </w:sdt>
      <w:r w:rsidRPr="409A73ED" w:rsidR="4233992C">
        <w:rPr>
          <w:rFonts w:ascii="Arial" w:hAnsi="Arial" w:eastAsia="Arial" w:cs="Arial"/>
          <w:noProof w:val="0"/>
          <w:sz w:val="22"/>
          <w:szCs w:val="22"/>
          <w:lang w:val="en"/>
        </w:rPr>
        <w:t xml:space="preserve"> </w:t>
      </w:r>
      <w:sdt>
        <w:sdtPr>
          <w:id w:val="1469010673"/>
          <w15:appearance w15:val="hidden"/>
          <w:tag w:val="tii-similarity-U1VCTUlUVEVEX1dPUktfb2lkOjE6NDQxOTI0MzU0"/>
          <w:placeholder>
            <w:docPart w:val="DefaultPlaceholder_1081868574"/>
          </w:placeholder>
        </w:sdtPr>
        <w:sdtContent>
          <w:r w:rsidRPr="409A73ED" w:rsidR="4233992C">
            <w:rPr>
              <w:rFonts w:ascii="Arial" w:hAnsi="Arial" w:eastAsia="Arial" w:cs="Arial"/>
              <w:b w:val="0"/>
              <w:bCs w:val="0"/>
              <w:noProof w:val="0"/>
              <w:sz w:val="22"/>
              <w:szCs w:val="22"/>
              <w:lang w:val="en"/>
            </w:rPr>
            <w:t>the Production of Knowledge about Cybercrime</w:t>
          </w:r>
        </w:sdtContent>
      </w:sdt>
      <w:r w:rsidRPr="409A73ED" w:rsidR="4233992C">
        <w:rPr>
          <w:rFonts w:ascii="Arial" w:hAnsi="Arial" w:eastAsia="Arial" w:cs="Arial"/>
          <w:noProof w:val="0"/>
          <w:sz w:val="22"/>
          <w:szCs w:val="22"/>
          <w:lang w:val="en"/>
        </w:rPr>
        <w:t>. New Media &amp; Society, 20(11), 4182-4201.</w:t>
      </w:r>
    </w:p>
    <w:p w:rsidR="4233992C" w:rsidP="409A73ED" w:rsidRDefault="4233992C" w14:paraId="1680B900" w14:textId="372ADDA4">
      <w:pPr>
        <w:spacing w:line="480" w:lineRule="auto"/>
      </w:pPr>
      <w:r w:rsidRPr="409A73ED" w:rsidR="4233992C">
        <w:rPr>
          <w:rFonts w:ascii="Arial" w:hAnsi="Arial" w:eastAsia="Arial" w:cs="Arial"/>
          <w:noProof w:val="0"/>
          <w:sz w:val="22"/>
          <w:szCs w:val="22"/>
          <w:lang w:val="en"/>
        </w:rPr>
        <w:t xml:space="preserve"> </w:t>
      </w:r>
    </w:p>
    <w:p w:rsidR="409A73ED" w:rsidP="409A73ED" w:rsidRDefault="409A73ED" w14:paraId="6512316E" w14:textId="225B9D31">
      <w:pPr>
        <w:spacing w:line="480" w:lineRule="auto"/>
        <w:rPr>
          <w:rFonts w:ascii="Arial" w:hAnsi="Arial" w:eastAsia="Arial" w:cs="Arial"/>
          <w:noProof w:val="0"/>
          <w:sz w:val="22"/>
          <w:szCs w:val="22"/>
          <w:lang w:val="en"/>
        </w:rPr>
      </w:pPr>
    </w:p>
    <w:p w:rsidR="409A73ED" w:rsidP="409A73ED" w:rsidRDefault="409A73ED" w14:paraId="738F04A0" w14:textId="7E6F60A0">
      <w:pPr>
        <w:pStyle w:val="Normal"/>
        <w:spacing w:line="480" w:lineRule="auto"/>
      </w:pPr>
    </w:p>
    <w:sectPr>
      <w:pgSz w:w="12240" w:h="15840" w:orient="portrait"/>
      <w:pgMar w:top="1440" w:right="1440" w:bottom="1440" w:left="1440" w:header="720" w:footer="720" w:gutter="0"/>
      <w:cols w:space="720"/>
      <w:docGrid w:linePitch="360"/>
      <w:headerReference w:type="default" r:id="Rfb91abcc92764a55"/>
      <w:footerReference w:type="default" r:id="R8fdefc3f08cf44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9A73ED" w:rsidTr="409A73ED" w14:paraId="346A84C9">
      <w:trPr>
        <w:trHeight w:val="300"/>
      </w:trPr>
      <w:tc>
        <w:tcPr>
          <w:tcW w:w="3120" w:type="dxa"/>
          <w:tcMar/>
        </w:tcPr>
        <w:p w:rsidR="409A73ED" w:rsidP="409A73ED" w:rsidRDefault="409A73ED" w14:paraId="7E428DA4" w14:textId="662E8138">
          <w:pPr>
            <w:pStyle w:val="Header"/>
            <w:bidi w:val="0"/>
            <w:ind w:left="-115"/>
            <w:jc w:val="left"/>
          </w:pPr>
        </w:p>
      </w:tc>
      <w:tc>
        <w:tcPr>
          <w:tcW w:w="3120" w:type="dxa"/>
          <w:tcMar/>
        </w:tcPr>
        <w:p w:rsidR="409A73ED" w:rsidP="409A73ED" w:rsidRDefault="409A73ED" w14:paraId="29DB8AF4" w14:textId="7461B753">
          <w:pPr>
            <w:pStyle w:val="Header"/>
            <w:bidi w:val="0"/>
            <w:jc w:val="center"/>
          </w:pPr>
        </w:p>
      </w:tc>
      <w:tc>
        <w:tcPr>
          <w:tcW w:w="3120" w:type="dxa"/>
          <w:tcMar/>
        </w:tcPr>
        <w:p w:rsidR="409A73ED" w:rsidP="409A73ED" w:rsidRDefault="409A73ED" w14:paraId="199B4DBB" w14:textId="0509EB6E">
          <w:pPr>
            <w:pStyle w:val="Header"/>
            <w:bidi w:val="0"/>
            <w:ind w:right="-115"/>
            <w:jc w:val="right"/>
          </w:pPr>
        </w:p>
      </w:tc>
    </w:tr>
  </w:tbl>
  <w:p w:rsidR="409A73ED" w:rsidP="409A73ED" w:rsidRDefault="409A73ED" w14:paraId="6F7CFB08" w14:textId="28FB2DC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9A73ED" w:rsidTr="409A73ED" w14:paraId="73AE78EE">
      <w:trPr>
        <w:trHeight w:val="300"/>
      </w:trPr>
      <w:tc>
        <w:tcPr>
          <w:tcW w:w="3120" w:type="dxa"/>
          <w:tcMar/>
        </w:tcPr>
        <w:p w:rsidR="409A73ED" w:rsidP="409A73ED" w:rsidRDefault="409A73ED" w14:paraId="2807E368" w14:textId="2CDF7FC5">
          <w:pPr>
            <w:pStyle w:val="Header"/>
            <w:bidi w:val="0"/>
            <w:ind w:left="-115"/>
            <w:jc w:val="left"/>
          </w:pPr>
        </w:p>
      </w:tc>
      <w:tc>
        <w:tcPr>
          <w:tcW w:w="3120" w:type="dxa"/>
          <w:tcMar/>
        </w:tcPr>
        <w:p w:rsidR="409A73ED" w:rsidP="409A73ED" w:rsidRDefault="409A73ED" w14:paraId="191CF2BA" w14:textId="47AB0145">
          <w:pPr>
            <w:pStyle w:val="Header"/>
            <w:bidi w:val="0"/>
            <w:jc w:val="center"/>
          </w:pPr>
        </w:p>
      </w:tc>
      <w:tc>
        <w:tcPr>
          <w:tcW w:w="3120" w:type="dxa"/>
          <w:tcMar/>
        </w:tcPr>
        <w:p w:rsidR="409A73ED" w:rsidP="409A73ED" w:rsidRDefault="409A73ED" w14:paraId="5C8F02EF" w14:textId="43D13399">
          <w:pPr>
            <w:pStyle w:val="Header"/>
            <w:bidi w:val="0"/>
            <w:ind w:right="-115"/>
            <w:jc w:val="right"/>
          </w:pPr>
          <w:r>
            <w:fldChar w:fldCharType="begin"/>
          </w:r>
          <w:r>
            <w:instrText xml:space="preserve">PAGE</w:instrText>
          </w:r>
          <w:r>
            <w:fldChar w:fldCharType="separate"/>
          </w:r>
          <w:r>
            <w:fldChar w:fldCharType="end"/>
          </w:r>
        </w:p>
      </w:tc>
    </w:tr>
  </w:tbl>
  <w:p w:rsidR="409A73ED" w:rsidP="409A73ED" w:rsidRDefault="409A73ED" w14:paraId="10B480BC" w14:textId="24253547">
    <w:pPr>
      <w:pStyle w:val="Header"/>
      <w:bidi w:val="0"/>
    </w:pPr>
  </w:p>
</w:hdr>
</file>

<file path=word/intelligence2.xml><?xml version="1.0" encoding="utf-8"?>
<int2:intelligence xmlns:int2="http://schemas.microsoft.com/office/intelligence/2020/intelligence">
  <int2:observations>
    <int2:bookmark int2:bookmarkName="_Int_o6fMyPoz" int2:invalidationBookmarkName="" int2:hashCode="Xm/n3+4y8PQWLF" int2:id="GbltHzej">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8C8C5C"/>
    <w:rsid w:val="012E2EF1"/>
    <w:rsid w:val="0193EA30"/>
    <w:rsid w:val="05321BAE"/>
    <w:rsid w:val="0850589A"/>
    <w:rsid w:val="09DA96C4"/>
    <w:rsid w:val="0D5DC307"/>
    <w:rsid w:val="12D32E4B"/>
    <w:rsid w:val="14C28D58"/>
    <w:rsid w:val="1A0F4CCD"/>
    <w:rsid w:val="1BA09CCC"/>
    <w:rsid w:val="237FEDBB"/>
    <w:rsid w:val="2548B1DA"/>
    <w:rsid w:val="2E15C90E"/>
    <w:rsid w:val="337BD6D5"/>
    <w:rsid w:val="345E9851"/>
    <w:rsid w:val="3543C962"/>
    <w:rsid w:val="3565BCB2"/>
    <w:rsid w:val="374F92A4"/>
    <w:rsid w:val="39ED0902"/>
    <w:rsid w:val="409A73ED"/>
    <w:rsid w:val="4138F19A"/>
    <w:rsid w:val="4233992C"/>
    <w:rsid w:val="44EE7953"/>
    <w:rsid w:val="4679CD41"/>
    <w:rsid w:val="5220AE39"/>
    <w:rsid w:val="540CC4B2"/>
    <w:rsid w:val="561A70FE"/>
    <w:rsid w:val="634A0B31"/>
    <w:rsid w:val="667894A5"/>
    <w:rsid w:val="6681ABF3"/>
    <w:rsid w:val="68CB9544"/>
    <w:rsid w:val="70F40B7B"/>
    <w:rsid w:val="74679581"/>
    <w:rsid w:val="769FBD43"/>
    <w:rsid w:val="7F8C8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8C5C"/>
  <w15:chartTrackingRefBased/>
  <w15:docId w15:val="{B843B2B7-8B73-4392-AB53-FFD5C089DB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2d1a902207484fcb" /><Relationship Type="http://schemas.openxmlformats.org/officeDocument/2006/relationships/header" Target="header.xml" Id="Rfb91abcc92764a55" /><Relationship Type="http://schemas.openxmlformats.org/officeDocument/2006/relationships/footer" Target="footer.xml" Id="R8fdefc3f08cf4422" /><Relationship Type="http://schemas.microsoft.com/office/2020/10/relationships/intelligence" Target="intelligence2.xml" Id="R0e97a06ec8a4469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3750816-3e42-4e20-afb8-f886c64d8765}"/>
      </w:docPartPr>
      <w:docPartBody>
        <w:p w14:paraId="44712339">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2024-04-10T04:21:18.9029568Z</dcterms:created>
  <dcterms:modified xsi:type="dcterms:W3CDTF">2024-04-11T03:32:46.6900449Z</dcterms:modified>
  <dc:creator>Cheremeh, Roland Owusu</dc:creator>
  <lastModifiedBy>Cheremeh, Roland Owusu</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L12 Cybercrime Assignment1.docx</vt:lpwstr>
  </property>
  <property xmlns="http://schemas.openxmlformats.org/officeDocument/2006/custom-properties" fmtid="{D5CDD505-2E9C-101B-9397-08002B2CF9AE}" pid="3" name="TII_WORD_DOCUMENT_ID">
    <vt:lpwstr xmlns:vt="http://schemas.openxmlformats.org/officeDocument/2006/docPropsVTypes">a195cbde-6581-4f4a-a140-ca600a5abdac</vt:lpwstr>
  </property>
  <property xmlns="http://schemas.openxmlformats.org/officeDocument/2006/custom-properties" fmtid="{D5CDD505-2E9C-101B-9397-08002B2CF9AE}" pid="4" name="TII_WORD_DOCUMENT_HASH">
    <vt:lpwstr xmlns:vt="http://schemas.openxmlformats.org/officeDocument/2006/docPropsVTypes">07ee161f2aef191e5911aaf4c047cd1bcee6863c3f29c81d20af12568077ab45</vt:lpwstr>
  </property>
</Properties>
</file>