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42E3D"/>
          <w:sz w:val="80"/>
        </w:rPr>
        <w:t>REDD MARINE</w:t>
      </w:r>
    </w:p>
    <w:p>
      <w:pPr>
        <w:jc w:val="center"/>
      </w:pPr>
      <w:r>
        <w:rPr>
          <w:color w:val="2E869E"/>
          <w:sz w:val="48"/>
        </w:rPr>
        <w:t>Market Review</w:t>
      </w:r>
    </w:p>
    <w:p>
      <w:pPr>
        <w:jc w:val="center"/>
      </w:pPr>
      <w:r>
        <w:rPr>
          <w:i/>
          <w:color w:val="555555"/>
          <w:sz w:val="26"/>
        </w:rPr>
        <w:t>Residential Dock Safety &amp; Smart-Dock Technology</w:t>
      </w:r>
    </w:p>
    <w:p/>
    <w:p>
      <w:pPr>
        <w:jc w:val="center"/>
        <w:pBdr>
          <w:bottom w:val="single" w:sz="12" w:space="4" w:color="2E869E"/>
        </w:pBdr>
      </w:pPr>
    </w:p>
    <w:p/>
    <w:p/>
    <w:p/>
    <w:p/>
    <w:p/>
    <w:p/>
    <w:p/>
    <w:p/>
    <w:p>
      <w:pPr>
        <w:jc w:val="center"/>
      </w:pPr>
      <w:r>
        <w:rPr>
          <w:b w:val="0"/>
          <w:color w:val="142E3D"/>
          <w:sz w:val="22"/>
        </w:rPr>
        <w:t>Prepared for: Ford Tate, Founder</w:t>
        <w:br/>
      </w:r>
      <w:r>
        <w:rPr>
          <w:b w:val="0"/>
          <w:color w:val="142E3D"/>
          <w:sz w:val="22"/>
        </w:rPr>
        <w:t>Prepared by: Claude (Cowork)</w:t>
        <w:br/>
      </w:r>
      <w:r>
        <w:rPr>
          <w:b w:val="0"/>
          <w:color w:val="555555"/>
          <w:sz w:val="22"/>
        </w:rPr>
        <w:t>July 6, 2026</w:t>
        <w:br/>
      </w:r>
      <w:r>
        <w:rPr>
          <w:b/>
          <w:color w:val="555555"/>
          <w:sz w:val="18"/>
        </w:rPr>
        <w:t>CONFIDENTIAL — INTERNAL DRAFT</w:t>
      </w:r>
    </w:p>
    <w:p>
      <w:r>
        <w:br w:type="page"/>
      </w:r>
    </w:p>
    <w:p>
      <w:pPr>
        <w:pBdr>
          <w:bottom w:val="single" w:sz="6" w:space="4" w:color="1F4E5F"/>
        </w:pBdr>
      </w:pPr>
      <w:r>
        <w:rPr>
          <w:b/>
          <w:color w:val="142E3D"/>
          <w:sz w:val="32"/>
        </w:rPr>
        <w:t>Contents</w:t>
      </w:r>
    </w:p>
    <w:p>
      <w:r>
        <w:fldChar w:fldCharType="begin"/>
        <w:instrText xml:space="preserve">TOC \o "1-2" \h \z \u</w:instrText>
        <w:fldChar w:fldCharType="separate"/>
        <w:r>
          <w:t>Right-click and choose “Update Field” to build the table of contents.</w:t>
        </w:r>
        <w:fldChar w:fldCharType="end"/>
      </w:r>
    </w:p>
    <w:p>
      <w:r>
        <w:br w:type="page"/>
      </w:r>
    </w:p>
    <w:p>
      <w:pPr>
        <w:pStyle w:val="Heading1"/>
      </w:pPr>
      <w:r>
        <w:t>Executive Summary</w:t>
      </w:r>
    </w:p>
    <w:p>
      <w:pPr>
        <w:spacing w:after="120"/>
      </w:pPr>
      <w:r>
        <w:rPr>
          <w:i w:val="0"/>
          <w:sz w:val="22"/>
        </w:rPr>
        <w:t>Redd Marine is entering a market defined by a striking contrast: multi-million-dollar waterfront homes and six-figure boats are saturated with technology, yet the residential dock connecting them remains dark, unmonitored, and — most importantly — electrically unsafe. That gap is the opportunity.</w:t>
      </w:r>
    </w:p>
    <w:p>
      <w:pPr>
        <w:spacing w:after="120"/>
      </w:pPr>
      <w:r>
        <w:rPr>
          <w:i w:val="0"/>
          <w:sz w:val="22"/>
        </w:rPr>
        <w:t>The core wedge is life-safety. Electric Shock Drowning (ESD) is a low-frequency, near-100%-fatal hazard that the residential market has left almost entirely unaddressed, and drowning is now the number-one cause of death for U.S. children ages 1–4 [1][2]. Existing dock-safety products are almost all passive detectors that alarm after water is already energized; none cut power at the source. Redd's flagship power hub — which monitors dock power and de-energizes the entire dock on a detected fault — is a categorically stronger safety proposition and the defensible core of the business.</w:t>
      </w:r>
    </w:p>
    <w:p>
      <w:pPr>
        <w:spacing w:after="120"/>
      </w:pPr>
      <w:r>
        <w:rPr>
          <w:i w:val="0"/>
          <w:sz w:val="22"/>
        </w:rPr>
        <w:t>The surrounding numbers are supportive rather than speculative. Roughly 11.8 million recreational boats are registered in the U.S., recreational-marine retail spending reached $55.6 billion in 2024, the U.S. smart-home market is near $46 billion and compounding above 25% annually, and the U.S. marine-electronics market adds roughly $1.8 billion more [5][6][7]. Waterfront homes carry a ~116% value premium and a quality dock adds 10–20% to a property's value — the customer base is affluent and improvement-oriented [9].</w:t>
      </w:r>
    </w:p>
    <w:p>
      <w:pPr>
        <w:spacing w:after="120"/>
      </w:pPr>
      <w:r>
        <w:rPr>
          <w:i w:val="0"/>
          <w:sz w:val="22"/>
        </w:rPr>
        <w:t>This review sizes the opportunity, maps the competitive field, and lays out the demand drivers, regulatory environment, go-to-market channel, and the principal risks. The eight strategic recommendations from the prior suggestions memo are carried through and substantiated here: lead with the ESD hub, pursue third-party safety certification, build the insurer channel, formalize the installer-commission moat, keep the safety cutoff functional offline, protect the brand, use Wrightsville Beach as a visible beachhead, and treat tightening ESD regulation as a sales trigger.</w:t>
      </w:r>
    </w:p>
    <w:p>
      <w:pPr>
        <w:pStyle w:val="Heading1"/>
      </w:pPr>
      <w:r>
        <w:t>1.  The Problem and the Market Gap</w:t>
      </w:r>
    </w:p>
    <w:p>
      <w:pPr>
        <w:pStyle w:val="Heading2"/>
      </w:pPr>
      <w:r>
        <w:t>1.1  A safety gap hiding in plain sight</w:t>
      </w:r>
    </w:p>
    <w:p>
      <w:pPr>
        <w:spacing w:after="120"/>
      </w:pPr>
      <w:r>
        <w:rPr>
          <w:i w:val="0"/>
          <w:sz w:val="22"/>
        </w:rPr>
        <w:t>The residential dock is one of the most-used and least-instrumented parts of a waterfront home. It is where children first swim, where families gather, and where hundreds of hours are spent each season — yet residential dock power is typically fed through insulation that spends years exposed to saltwater and thermal cycling. When that insulation fails, current leaks into the water, and a swimmer can be paralyzed and drown in seconds. A leakage current above 30 mA can be fatal to a person in the water [3].</w:t>
      </w:r>
    </w:p>
    <w:p>
      <w:pPr>
        <w:pStyle w:val="Heading2"/>
      </w:pPr>
      <w:r>
        <w:t>1.2  The hazard is real, underreported, and emotionally potent</w:t>
      </w:r>
    </w:p>
    <w:p>
      <w:pPr>
        <w:pStyle w:val="ListBullet"/>
        <w:spacing w:after="80"/>
      </w:pPr>
      <w:r>
        <w:rPr>
          <w:b/>
        </w:rPr>
        <w:t xml:space="preserve">Electric Shock Drowning: </w:t>
      </w:r>
      <w:r>
        <w:rPr>
          <w:b w:val="0"/>
        </w:rPr>
        <w:t>roughly 90 ESD deaths have been documented in the U.S. since 1986, but the Electric Shock Drowning Prevention Association believes the true count is far higher because victims are usually recorded as ordinary drownings absent a witness. Fatality is close to 100% once a swimmer is paralyzed [2].</w:t>
      </w:r>
    </w:p>
    <w:p>
      <w:pPr>
        <w:pStyle w:val="ListBullet"/>
        <w:spacing w:after="80"/>
      </w:pPr>
      <w:r>
        <w:rPr>
          <w:b/>
        </w:rPr>
        <w:t xml:space="preserve">Drowning broadly: </w:t>
      </w:r>
      <w:r>
        <w:rPr>
          <w:b w:val="0"/>
        </w:rPr>
        <w:t>more than 4,500 people drown in the U.S. each year, and drowning is the leading cause of death for children ages 1–4 — a rate that rose 28% for that age group in 2022 versus 2019 [1].</w:t>
      </w:r>
    </w:p>
    <w:p>
      <w:pPr>
        <w:pStyle w:val="ListBullet"/>
        <w:spacing w:after="80"/>
      </w:pPr>
      <w:r>
        <w:rPr>
          <w:b/>
        </w:rPr>
        <w:t xml:space="preserve">Falls and liability: </w:t>
      </w:r>
      <w:r>
        <w:rPr>
          <w:b w:val="0"/>
        </w:rPr>
        <w:t>with hundreds of hours spent dockside on poorly lit, wet surfaces, slips and falls are a chronic, addressable source of injury and owner liability.</w:t>
      </w:r>
    </w:p>
    <w:p>
      <w:pPr>
        <w:spacing w:after="120"/>
      </w:pPr>
      <w:r>
        <w:rPr>
          <w:i/>
          <w:color w:val="555555"/>
          <w:sz w:val="22"/>
        </w:rPr>
        <w:t>These are not abstract statistics to the target customer; they are the exact fears a parent or grandparent has when children are in the water off the family dock. That emotional weight is what makes a safety-first brand defensible.</w:t>
      </w:r>
    </w:p>
    <w:p>
      <w:pPr>
        <w:pStyle w:val="Heading1"/>
      </w:pPr>
      <w:r>
        <w:t>2.  Market Sizing</w:t>
      </w:r>
    </w:p>
    <w:p>
      <w:pPr>
        <w:spacing w:after="120"/>
      </w:pPr>
      <w:r>
        <w:rPr>
          <w:i w:val="0"/>
          <w:sz w:val="22"/>
        </w:rPr>
        <w:t>No official census of private U.S. residential docks exists, so the model below is framed transparently: adjacent markets Redd touches are used to bound the opportunity, and the serviceable and obtainable layers are built bottom-up from waterfront-home economics. Figures are directional and should be refined with primary channel data. Full assumptions are in the Appendix.</w:t>
      </w:r>
    </w:p>
    <w:tbl>
      <w:tblPr>
        <w:tblW w:type="auto" w:w="0"/>
        <w:jc w:val="center"/>
        <w:tblLayout w:type="fixed"/>
        <w:tblLook w:firstColumn="1" w:firstRow="1" w:lastColumn="0" w:lastRow="0" w:noHBand="0" w:noVBand="1" w:val="04A0"/>
      </w:tblPr>
      <w:tblGrid>
        <w:gridCol w:w="2880"/>
        <w:gridCol w:w="2880"/>
        <w:gridCol w:w="2880"/>
      </w:tblGrid>
      <w:tr>
        <w:tc>
          <w:tcPr>
            <w:tcW w:type="dxa" w:w="1440"/>
            <w:shd w:val="clear" w:color="auto" w:fill="1F4E5F"/>
          </w:tcPr>
          <w:p>
            <w:pPr>
              <w:spacing w:after="40" w:before="40"/>
            </w:pPr>
            <w:r/>
            <w:r>
              <w:rPr>
                <w:b/>
                <w:color w:val="FFFFFF"/>
                <w:sz w:val="21"/>
              </w:rPr>
              <w:t>Layer</w:t>
            </w:r>
          </w:p>
        </w:tc>
        <w:tc>
          <w:tcPr>
            <w:tcW w:type="dxa" w:w="5472"/>
            <w:shd w:val="clear" w:color="auto" w:fill="1F4E5F"/>
          </w:tcPr>
          <w:p>
            <w:pPr>
              <w:spacing w:after="40" w:before="40"/>
            </w:pPr>
            <w:r/>
            <w:r>
              <w:rPr>
                <w:b/>
                <w:color w:val="FFFFFF"/>
                <w:sz w:val="21"/>
              </w:rPr>
              <w:t>Definition</w:t>
            </w:r>
          </w:p>
        </w:tc>
        <w:tc>
          <w:tcPr>
            <w:tcW w:type="dxa" w:w="2736"/>
            <w:shd w:val="clear" w:color="auto" w:fill="1F4E5F"/>
          </w:tcPr>
          <w:p>
            <w:pPr>
              <w:spacing w:after="40" w:before="40"/>
            </w:pPr>
            <w:r/>
            <w:r>
              <w:rPr>
                <w:b/>
                <w:color w:val="FFFFFF"/>
                <w:sz w:val="21"/>
              </w:rPr>
              <w:t>Indicative Value</w:t>
            </w:r>
          </w:p>
        </w:tc>
      </w:tr>
      <w:tr>
        <w:tc>
          <w:tcPr>
            <w:tcW w:type="dxa" w:w="1440"/>
          </w:tcPr>
          <w:p>
            <w:pPr>
              <w:spacing w:after="40" w:before="40"/>
            </w:pPr>
            <w:r/>
            <w:r>
              <w:rPr>
                <w:b/>
                <w:color w:val="1F4E5F"/>
                <w:sz w:val="20"/>
              </w:rPr>
              <w:t>TAM</w:t>
            </w:r>
          </w:p>
        </w:tc>
        <w:tc>
          <w:tcPr>
            <w:tcW w:type="dxa" w:w="5472"/>
          </w:tcPr>
          <w:p>
            <w:pPr>
              <w:spacing w:after="40" w:before="40"/>
            </w:pPr>
            <w:r/>
            <w:r>
              <w:rPr>
                <w:b w:val="0"/>
                <w:sz w:val="19"/>
              </w:rPr>
              <w:t>U.S. markets Redd's ecosystem spans: residential dock hardware, marine electronics, and dock-adjacent smart-home safety.</w:t>
            </w:r>
          </w:p>
        </w:tc>
        <w:tc>
          <w:tcPr>
            <w:tcW w:type="dxa" w:w="2736"/>
          </w:tcPr>
          <w:p>
            <w:pPr>
              <w:spacing w:after="40" w:before="40"/>
            </w:pPr>
            <w:r/>
            <w:r>
              <w:rPr>
                <w:b w:val="0"/>
                <w:sz w:val="19"/>
              </w:rPr>
              <w:t>$4–5B / yr in adjacent hardware &amp; electronics spend [7][8]</w:t>
            </w:r>
          </w:p>
        </w:tc>
      </w:tr>
      <w:tr>
        <w:tc>
          <w:tcPr>
            <w:tcW w:type="dxa" w:w="1440"/>
          </w:tcPr>
          <w:p>
            <w:pPr>
              <w:spacing w:after="40" w:before="40"/>
            </w:pPr>
            <w:r/>
            <w:r>
              <w:rPr>
                <w:b/>
                <w:color w:val="1F4E5F"/>
                <w:sz w:val="20"/>
              </w:rPr>
              <w:t>SAM</w:t>
            </w:r>
          </w:p>
        </w:tc>
        <w:tc>
          <w:tcPr>
            <w:tcW w:type="dxa" w:w="5472"/>
          </w:tcPr>
          <w:p>
            <w:pPr>
              <w:spacing w:after="40" w:before="40"/>
            </w:pPr>
            <w:r/>
            <w:r>
              <w:rPr>
                <w:b w:val="0"/>
                <w:sz w:val="19"/>
              </w:rPr>
              <w:t>High-value private residential docks in coastal &amp; lake markets realistically served by an installer-led safety ecosystem.</w:t>
            </w:r>
          </w:p>
        </w:tc>
        <w:tc>
          <w:tcPr>
            <w:tcW w:type="dxa" w:w="2736"/>
          </w:tcPr>
          <w:p>
            <w:pPr>
              <w:spacing w:after="40" w:before="40"/>
            </w:pPr>
            <w:r/>
            <w:r>
              <w:rPr>
                <w:b w:val="0"/>
                <w:sz w:val="19"/>
              </w:rPr>
              <w:t>~1.2–1.8M target docks; $3–9B installed hardware potential</w:t>
            </w:r>
          </w:p>
        </w:tc>
      </w:tr>
      <w:tr>
        <w:tc>
          <w:tcPr>
            <w:tcW w:type="dxa" w:w="1440"/>
          </w:tcPr>
          <w:p>
            <w:pPr>
              <w:spacing w:after="40" w:before="40"/>
            </w:pPr>
            <w:r/>
            <w:r>
              <w:rPr>
                <w:b/>
                <w:color w:val="1F4E5F"/>
                <w:sz w:val="20"/>
              </w:rPr>
              <w:t>SOM (3-yr)</w:t>
            </w:r>
          </w:p>
        </w:tc>
        <w:tc>
          <w:tcPr>
            <w:tcW w:type="dxa" w:w="5472"/>
          </w:tcPr>
          <w:p>
            <w:pPr>
              <w:spacing w:after="40" w:before="40"/>
            </w:pPr>
            <w:r/>
            <w:r>
              <w:rPr>
                <w:b w:val="0"/>
                <w:sz w:val="19"/>
              </w:rPr>
              <w:t>Beachhead: Wrightsville Beach + comparable Carolinas / Southeast waterfront communities via approved installers.</w:t>
            </w:r>
          </w:p>
        </w:tc>
        <w:tc>
          <w:tcPr>
            <w:tcW w:type="dxa" w:w="2736"/>
          </w:tcPr>
          <w:p>
            <w:pPr>
              <w:spacing w:after="40" w:before="40"/>
            </w:pPr>
            <w:r/>
            <w:r>
              <w:rPr>
                <w:b w:val="0"/>
                <w:sz w:val="19"/>
              </w:rPr>
              <w:t>Low thousands of docks; hardware + recurring subscription</w:t>
            </w:r>
          </w:p>
        </w:tc>
      </w:tr>
    </w:tbl>
    <w:p>
      <w:pPr>
        <w:spacing w:after="120"/>
      </w:pPr>
      <w:r>
        <w:rPr>
          <w:i w:val="0"/>
          <w:sz w:val="22"/>
        </w:rPr>
      </w:r>
    </w:p>
    <w:p>
      <w:pPr>
        <w:spacing w:after="120"/>
      </w:pPr>
      <w:r>
        <w:rPr>
          <w:i w:val="0"/>
          <w:sz w:val="22"/>
        </w:rPr>
        <w:t>The unit economics matter more than the top-line at this stage. Each installed dock represents a hardware sale (a hub plus modules, plausibly a few thousand to high-single-thousand dollars) followed by recurring connectivity and software revenue. Applied across even the obtainable beachhead, the recurring layer is what turns a hardware company into a durable one.</w:t>
      </w:r>
    </w:p>
    <w:p>
      <w:pPr>
        <w:pStyle w:val="Heading1"/>
      </w:pPr>
      <w:r>
        <w:t>3.  Demand Drivers and Tailwinds</w:t>
      </w:r>
    </w:p>
    <w:p>
      <w:pPr>
        <w:pStyle w:val="Heading2"/>
      </w:pPr>
      <w:r>
        <w:t>3.1  An affluent, improvement-oriented customer base</w:t>
      </w:r>
    </w:p>
    <w:p>
      <w:pPr>
        <w:spacing w:after="120"/>
      </w:pPr>
      <w:r>
        <w:rPr>
          <w:i w:val="0"/>
          <w:sz w:val="22"/>
        </w:rPr>
        <w:t>Waterfront property is scarce and expensive: only ~3.6% of single-family homes sold in 2024 were waterfront, the median waterfront home has historically carried a ~116% premium over the typical U.S. home, and a quality dock alone adds an estimated 10–20% (roughly $14,000–$20,000) to home value [9]. Buyers of dock technology are, by definition, owners of high-value assets with the means and the motive to protect and upgrade them.</w:t>
      </w:r>
    </w:p>
    <w:p>
      <w:pPr>
        <w:pStyle w:val="Heading2"/>
      </w:pPr>
      <w:r>
        <w:t>3.2  Large, growing adjacent markets</w:t>
      </w:r>
    </w:p>
    <w:tbl>
      <w:tblPr>
        <w:tblW w:type="auto" w:w="0"/>
        <w:tblLayout w:type="fixed"/>
        <w:tblLook w:firstColumn="1" w:firstRow="1" w:lastColumn="0" w:lastRow="0" w:noHBand="0" w:noVBand="1" w:val="04A0"/>
      </w:tblPr>
      <w:tblGrid>
        <w:gridCol w:w="2880"/>
        <w:gridCol w:w="2880"/>
        <w:gridCol w:w="2880"/>
      </w:tblGrid>
      <w:tr>
        <w:tc>
          <w:tcPr>
            <w:tcW w:type="dxa" w:w="3168"/>
            <w:shd w:val="clear" w:color="auto" w:fill="1F4E5F"/>
          </w:tcPr>
          <w:p>
            <w:pPr>
              <w:spacing w:after="40" w:before="40"/>
            </w:pPr>
            <w:r/>
            <w:r>
              <w:rPr>
                <w:b/>
                <w:color w:val="FFFFFF"/>
                <w:sz w:val="21"/>
              </w:rPr>
              <w:t>Market</w:t>
            </w:r>
          </w:p>
        </w:tc>
        <w:tc>
          <w:tcPr>
            <w:tcW w:type="dxa" w:w="2304"/>
            <w:shd w:val="clear" w:color="auto" w:fill="1F4E5F"/>
          </w:tcPr>
          <w:p>
            <w:pPr>
              <w:spacing w:after="40" w:before="40"/>
            </w:pPr>
            <w:r/>
            <w:r>
              <w:rPr>
                <w:b/>
                <w:color w:val="FFFFFF"/>
                <w:sz w:val="21"/>
              </w:rPr>
              <w:t>Size (U.S.)</w:t>
            </w:r>
          </w:p>
        </w:tc>
        <w:tc>
          <w:tcPr>
            <w:tcW w:type="dxa" w:w="4176"/>
            <w:shd w:val="clear" w:color="auto" w:fill="1F4E5F"/>
          </w:tcPr>
          <w:p>
            <w:pPr>
              <w:spacing w:after="40" w:before="40"/>
            </w:pPr>
            <w:r/>
            <w:r>
              <w:rPr>
                <w:b/>
                <w:color w:val="FFFFFF"/>
                <w:sz w:val="21"/>
              </w:rPr>
              <w:t>Trajectory</w:t>
            </w:r>
          </w:p>
        </w:tc>
      </w:tr>
      <w:tr>
        <w:tc>
          <w:tcPr>
            <w:tcW w:type="dxa" w:w="3168"/>
          </w:tcPr>
          <w:p>
            <w:pPr>
              <w:spacing w:after="40" w:before="40"/>
            </w:pPr>
            <w:r/>
            <w:r>
              <w:rPr>
                <w:b/>
                <w:color w:val="1F4E5F"/>
                <w:sz w:val="20"/>
              </w:rPr>
              <w:t>Recreational boating (retail)</w:t>
            </w:r>
          </w:p>
        </w:tc>
        <w:tc>
          <w:tcPr>
            <w:tcW w:type="dxa" w:w="2304"/>
          </w:tcPr>
          <w:p>
            <w:pPr>
              <w:spacing w:after="40" w:before="40"/>
            </w:pPr>
            <w:r/>
            <w:r>
              <w:rPr>
                <w:b w:val="0"/>
                <w:sz w:val="20"/>
              </w:rPr>
              <w:t>$55.6B (2024)</w:t>
            </w:r>
          </w:p>
        </w:tc>
        <w:tc>
          <w:tcPr>
            <w:tcW w:type="dxa" w:w="4176"/>
          </w:tcPr>
          <w:p>
            <w:pPr>
              <w:spacing w:after="40" w:before="40"/>
            </w:pPr>
            <w:r/>
            <w:r>
              <w:rPr>
                <w:b w:val="0"/>
                <w:sz w:val="19"/>
              </w:rPr>
              <w:t>11.8M registered boats; ~$230B economic impact [5]</w:t>
            </w:r>
          </w:p>
        </w:tc>
      </w:tr>
      <w:tr>
        <w:tc>
          <w:tcPr>
            <w:tcW w:type="dxa" w:w="3168"/>
          </w:tcPr>
          <w:p>
            <w:pPr>
              <w:spacing w:after="40" w:before="40"/>
            </w:pPr>
            <w:r/>
            <w:r>
              <w:rPr>
                <w:b/>
                <w:color w:val="1F4E5F"/>
                <w:sz w:val="20"/>
              </w:rPr>
              <w:t>U.S. smart home</w:t>
            </w:r>
          </w:p>
        </w:tc>
        <w:tc>
          <w:tcPr>
            <w:tcW w:type="dxa" w:w="2304"/>
          </w:tcPr>
          <w:p>
            <w:pPr>
              <w:spacing w:after="40" w:before="40"/>
            </w:pPr>
            <w:r/>
            <w:r>
              <w:rPr>
                <w:b w:val="0"/>
                <w:sz w:val="20"/>
              </w:rPr>
              <w:t>~$46B (2025)</w:t>
            </w:r>
          </w:p>
        </w:tc>
        <w:tc>
          <w:tcPr>
            <w:tcW w:type="dxa" w:w="4176"/>
          </w:tcPr>
          <w:p>
            <w:pPr>
              <w:spacing w:after="40" w:before="40"/>
            </w:pPr>
            <w:r/>
            <w:r>
              <w:rPr>
                <w:b w:val="0"/>
                <w:sz w:val="19"/>
              </w:rPr>
              <w:t>~26% CAGR to 2035 [6]</w:t>
            </w:r>
          </w:p>
        </w:tc>
      </w:tr>
      <w:tr>
        <w:tc>
          <w:tcPr>
            <w:tcW w:type="dxa" w:w="3168"/>
          </w:tcPr>
          <w:p>
            <w:pPr>
              <w:spacing w:after="40" w:before="40"/>
            </w:pPr>
            <w:r/>
            <w:r>
              <w:rPr>
                <w:b/>
                <w:color w:val="1F4E5F"/>
                <w:sz w:val="20"/>
              </w:rPr>
              <w:t>U.S. marine electronics</w:t>
            </w:r>
          </w:p>
        </w:tc>
        <w:tc>
          <w:tcPr>
            <w:tcW w:type="dxa" w:w="2304"/>
          </w:tcPr>
          <w:p>
            <w:pPr>
              <w:spacing w:after="40" w:before="40"/>
            </w:pPr>
            <w:r/>
            <w:r>
              <w:rPr>
                <w:b w:val="0"/>
                <w:sz w:val="20"/>
              </w:rPr>
              <w:t>~$1.8B (2024)</w:t>
            </w:r>
          </w:p>
        </w:tc>
        <w:tc>
          <w:tcPr>
            <w:tcW w:type="dxa" w:w="4176"/>
          </w:tcPr>
          <w:p>
            <w:pPr>
              <w:spacing w:after="40" w:before="40"/>
            </w:pPr>
            <w:r/>
            <w:r>
              <w:rPr>
                <w:b w:val="0"/>
                <w:sz w:val="19"/>
              </w:rPr>
              <w:t>→ ~$2.4B by 2030; software fastest-growing [7]</w:t>
            </w:r>
          </w:p>
        </w:tc>
      </w:tr>
      <w:tr>
        <w:tc>
          <w:tcPr>
            <w:tcW w:type="dxa" w:w="3168"/>
          </w:tcPr>
          <w:p>
            <w:pPr>
              <w:spacing w:after="40" w:before="40"/>
            </w:pPr>
            <w:r/>
            <w:r>
              <w:rPr>
                <w:b/>
                <w:color w:val="1F4E5F"/>
                <w:sz w:val="20"/>
              </w:rPr>
              <w:t>U.S. docks / boat lifts</w:t>
            </w:r>
          </w:p>
        </w:tc>
        <w:tc>
          <w:tcPr>
            <w:tcW w:type="dxa" w:w="2304"/>
          </w:tcPr>
          <w:p>
            <w:pPr>
              <w:spacing w:after="40" w:before="40"/>
            </w:pPr>
            <w:r/>
            <w:r>
              <w:rPr>
                <w:b w:val="0"/>
                <w:sz w:val="20"/>
              </w:rPr>
              <w:t>~$1.9–2.4B</w:t>
            </w:r>
          </w:p>
        </w:tc>
        <w:tc>
          <w:tcPr>
            <w:tcW w:type="dxa" w:w="4176"/>
          </w:tcPr>
          <w:p>
            <w:pPr>
              <w:spacing w:after="40" w:before="40"/>
            </w:pPr>
            <w:r/>
            <w:r>
              <w:rPr>
                <w:b w:val="0"/>
                <w:sz w:val="19"/>
              </w:rPr>
              <w:t>Steady ~4% CAGR; residential a rising share [8]</w:t>
            </w:r>
          </w:p>
        </w:tc>
      </w:tr>
    </w:tbl>
    <w:p>
      <w:pPr>
        <w:spacing w:after="120"/>
      </w:pPr>
      <w:r>
        <w:rPr>
          <w:i w:val="0"/>
          <w:sz w:val="22"/>
        </w:rPr>
      </w:r>
    </w:p>
    <w:p>
      <w:pPr>
        <w:spacing w:after="120"/>
      </w:pPr>
      <w:r>
        <w:rPr>
          <w:i w:val="0"/>
          <w:sz w:val="22"/>
        </w:rPr>
        <w:t>Redd sits at the intersection of these four markets. The smart-home segment supplies the consumer expectation (app control, automation, monitoring), while the boating and dock segments supply the physical context and the installer channel.</w:t>
      </w:r>
    </w:p>
    <w:p>
      <w:pPr>
        <w:pStyle w:val="Heading2"/>
      </w:pPr>
      <w:r>
        <w:t>3.3  Regulatory and insurance tailwinds</w:t>
      </w:r>
    </w:p>
    <w:p>
      <w:pPr>
        <w:pStyle w:val="ListBullet"/>
        <w:spacing w:after="80"/>
      </w:pPr>
      <w:r>
        <w:rPr>
          <w:b/>
        </w:rPr>
        <w:t xml:space="preserve">Regulation as a demand trigger: </w:t>
      </w:r>
      <w:r>
        <w:rPr>
          <w:b w:val="0"/>
        </w:rPr>
        <w:t>standards bodies and legislatures are steadily tightening dock electrical requirements. The 2020 National Electrical Code overhaul of Article 555 requires 30 mA ground-fault protection for dock receptacles, and ABYC E-11 mandates equivalent ELCI protection on boats [3][4]. After two boys were electrocuted at a Tennessee lake in 2012, the state passed the Noah Dean and Nate Act (2014), mandating GFCI protection, safety signage, and recurring marina inspections [13]. Each such measure is a market-opening event Redd should track and get ahead of.</w:t>
      </w:r>
    </w:p>
    <w:p>
      <w:pPr>
        <w:pStyle w:val="ListBullet"/>
        <w:spacing w:after="80"/>
      </w:pPr>
      <w:r>
        <w:rPr>
          <w:b/>
        </w:rPr>
        <w:t xml:space="preserve">Insurance as a subsidy and a salesforce: </w:t>
      </w:r>
      <w:r>
        <w:rPr>
          <w:b w:val="0"/>
        </w:rPr>
        <w:t>insurers already discount premiums 5–20% for monitored smart-safety devices — Liberty Mutual up to 10% for water monitoring, USAA and Nationwide through connected-home programs [12]. A certified safety hub that demonstrably reduces catastrophic (life) and property (water/electrical) risk is a natural fit for carrier partnerships that both subsidize purchase and market Redd on the company's behalf.</w:t>
      </w:r>
    </w:p>
    <w:p>
      <w:pPr>
        <w:pStyle w:val="Heading1"/>
      </w:pPr>
      <w:r>
        <w:t>4.  Competitive Landscape</w:t>
      </w:r>
    </w:p>
    <w:p>
      <w:pPr>
        <w:spacing w:after="120"/>
      </w:pPr>
      <w:r>
        <w:rPr>
          <w:i w:val="0"/>
          <w:sz w:val="22"/>
        </w:rPr>
        <w:t>The field splits cleanly into two camps, and — critically — no incumbent convincingly occupies both. That white space is Redd's position.</w:t>
      </w:r>
    </w:p>
    <w:p>
      <w:pPr>
        <w:pStyle w:val="Heading2"/>
      </w:pPr>
      <w:r>
        <w:t>4.1  Category A — ESD detection devices (alert-only)</w:t>
      </w:r>
    </w:p>
    <w:tbl>
      <w:tblPr>
        <w:tblW w:type="auto" w:w="0"/>
        <w:tblLayout w:type="fixed"/>
        <w:tblLook w:firstColumn="1" w:firstRow="1" w:lastColumn="0" w:lastRow="0" w:noHBand="0" w:noVBand="1" w:val="04A0"/>
      </w:tblPr>
      <w:tblGrid>
        <w:gridCol w:w="2880"/>
        <w:gridCol w:w="2880"/>
        <w:gridCol w:w="2880"/>
      </w:tblGrid>
      <w:tr>
        <w:tc>
          <w:tcPr>
            <w:tcW w:type="dxa" w:w="2160"/>
            <w:shd w:val="clear" w:color="auto" w:fill="1F4E5F"/>
          </w:tcPr>
          <w:p>
            <w:pPr>
              <w:spacing w:after="40" w:before="40"/>
            </w:pPr>
            <w:r/>
            <w:r>
              <w:rPr>
                <w:b/>
                <w:color w:val="FFFFFF"/>
                <w:sz w:val="21"/>
              </w:rPr>
              <w:t>Player</w:t>
            </w:r>
          </w:p>
        </w:tc>
        <w:tc>
          <w:tcPr>
            <w:tcW w:type="dxa" w:w="4320"/>
            <w:shd w:val="clear" w:color="auto" w:fill="1F4E5F"/>
          </w:tcPr>
          <w:p>
            <w:pPr>
              <w:spacing w:after="40" w:before="40"/>
            </w:pPr>
            <w:r/>
            <w:r>
              <w:rPr>
                <w:b/>
                <w:color w:val="FFFFFF"/>
                <w:sz w:val="21"/>
              </w:rPr>
              <w:t>Approach</w:t>
            </w:r>
          </w:p>
        </w:tc>
        <w:tc>
          <w:tcPr>
            <w:tcW w:type="dxa" w:w="3168"/>
            <w:shd w:val="clear" w:color="auto" w:fill="1F4E5F"/>
          </w:tcPr>
          <w:p>
            <w:pPr>
              <w:spacing w:after="40" w:before="40"/>
            </w:pPr>
            <w:r/>
            <w:r>
              <w:rPr>
                <w:b/>
                <w:color w:val="FFFFFF"/>
                <w:sz w:val="21"/>
              </w:rPr>
              <w:t>Key limitation</w:t>
            </w:r>
          </w:p>
        </w:tc>
      </w:tr>
      <w:tr>
        <w:tc>
          <w:tcPr>
            <w:tcW w:type="dxa" w:w="2160"/>
          </w:tcPr>
          <w:p>
            <w:pPr>
              <w:spacing w:after="40" w:before="40"/>
            </w:pPr>
            <w:r/>
            <w:r>
              <w:rPr>
                <w:b/>
                <w:color w:val="1F4E5F"/>
                <w:sz w:val="20"/>
              </w:rPr>
              <w:t>Dock Lifeguard</w:t>
            </w:r>
          </w:p>
        </w:tc>
        <w:tc>
          <w:tcPr>
            <w:tcW w:type="dxa" w:w="4320"/>
          </w:tcPr>
          <w:p>
            <w:pPr>
              <w:spacing w:after="40" w:before="40"/>
            </w:pPr>
            <w:r/>
            <w:r>
              <w:rPr>
                <w:b w:val="0"/>
                <w:sz w:val="19"/>
              </w:rPr>
              <w:t>Passive in-water current detection, audible/visual alarm; ~40 ft radius (since 2012).</w:t>
            </w:r>
          </w:p>
        </w:tc>
        <w:tc>
          <w:tcPr>
            <w:tcW w:type="dxa" w:w="3168"/>
          </w:tcPr>
          <w:p>
            <w:pPr>
              <w:spacing w:after="40" w:before="40"/>
            </w:pPr>
            <w:r/>
            <w:r>
              <w:rPr>
                <w:b w:val="0"/>
                <w:sz w:val="19"/>
              </w:rPr>
              <w:t>Warns after water is energized; does not cut power [10].</w:t>
            </w:r>
          </w:p>
        </w:tc>
      </w:tr>
      <w:tr>
        <w:tc>
          <w:tcPr>
            <w:tcW w:type="dxa" w:w="2160"/>
          </w:tcPr>
          <w:p>
            <w:pPr>
              <w:spacing w:after="40" w:before="40"/>
            </w:pPr>
            <w:r/>
            <w:r>
              <w:rPr>
                <w:b/>
                <w:color w:val="1F4E5F"/>
                <w:sz w:val="20"/>
              </w:rPr>
              <w:t>WaveLink Secure</w:t>
            </w:r>
          </w:p>
        </w:tc>
        <w:tc>
          <w:tcPr>
            <w:tcW w:type="dxa" w:w="4320"/>
          </w:tcPr>
          <w:p>
            <w:pPr>
              <w:spacing w:after="40" w:before="40"/>
            </w:pPr>
            <w:r/>
            <w:r>
              <w:rPr>
                <w:b w:val="0"/>
                <w:sz w:val="19"/>
              </w:rPr>
              <w:t>ML-based detection, learns the waterscape; ~150 ft radius; app alerts.</w:t>
            </w:r>
          </w:p>
        </w:tc>
        <w:tc>
          <w:tcPr>
            <w:tcW w:type="dxa" w:w="3168"/>
          </w:tcPr>
          <w:p>
            <w:pPr>
              <w:spacing w:after="40" w:before="40"/>
            </w:pPr>
            <w:r/>
            <w:r>
              <w:rPr>
                <w:b w:val="0"/>
                <w:sz w:val="19"/>
              </w:rPr>
              <w:t>Detection &amp; notification only; no source-side shutoff [10].</w:t>
            </w:r>
          </w:p>
        </w:tc>
      </w:tr>
      <w:tr>
        <w:tc>
          <w:tcPr>
            <w:tcW w:type="dxa" w:w="2160"/>
          </w:tcPr>
          <w:p>
            <w:pPr>
              <w:spacing w:after="40" w:before="40"/>
            </w:pPr>
            <w:r/>
            <w:r>
              <w:rPr>
                <w:b/>
                <w:color w:val="1F4E5F"/>
                <w:sz w:val="20"/>
              </w:rPr>
              <w:t>ShockAlarm / ShockAlert</w:t>
            </w:r>
          </w:p>
        </w:tc>
        <w:tc>
          <w:tcPr>
            <w:tcW w:type="dxa" w:w="4320"/>
          </w:tcPr>
          <w:p>
            <w:pPr>
              <w:spacing w:after="40" w:before="40"/>
            </w:pPr>
            <w:r/>
            <w:r>
              <w:rPr>
                <w:b w:val="0"/>
                <w:sz w:val="19"/>
              </w:rPr>
              <w:t>Low-cost floating detectors with light/beep alarms.</w:t>
            </w:r>
          </w:p>
        </w:tc>
        <w:tc>
          <w:tcPr>
            <w:tcW w:type="dxa" w:w="3168"/>
          </w:tcPr>
          <w:p>
            <w:pPr>
              <w:spacing w:after="40" w:before="40"/>
            </w:pPr>
            <w:r/>
            <w:r>
              <w:rPr>
                <w:b w:val="0"/>
                <w:sz w:val="19"/>
              </w:rPr>
              <w:t>Point devices; false-sense-of-safety risk flagged by ESD Assoc. [10].</w:t>
            </w:r>
          </w:p>
        </w:tc>
      </w:tr>
    </w:tbl>
    <w:p>
      <w:pPr>
        <w:spacing w:after="120"/>
      </w:pPr>
      <w:r>
        <w:rPr>
          <w:i w:val="0"/>
          <w:sz w:val="22"/>
        </w:rPr>
      </w:r>
    </w:p>
    <w:p>
      <w:pPr>
        <w:spacing w:after="120"/>
      </w:pPr>
      <w:r>
        <w:rPr>
          <w:i/>
          <w:color w:val="555555"/>
          <w:sz w:val="22"/>
        </w:rPr>
        <w:t>The entire detection category shares one structural weakness the ESD Prevention Association itself warns about: a detector can create a false sense of safety, and it cannot prevent the hazard — only announce it. Redd's hub inverts this by removing the energy source, which is both safer and a cleaner liability story.</w:t>
      </w:r>
    </w:p>
    <w:p>
      <w:pPr>
        <w:pStyle w:val="Heading2"/>
      </w:pPr>
      <w:r>
        <w:t>4.2  Category B — Smart-dock ecosystems (comfort &amp; control)</w:t>
      </w:r>
    </w:p>
    <w:tbl>
      <w:tblPr>
        <w:tblW w:type="auto" w:w="0"/>
        <w:tblLayout w:type="fixed"/>
        <w:tblLook w:firstColumn="1" w:firstRow="1" w:lastColumn="0" w:lastRow="0" w:noHBand="0" w:noVBand="1" w:val="04A0"/>
      </w:tblPr>
      <w:tblGrid>
        <w:gridCol w:w="2880"/>
        <w:gridCol w:w="2880"/>
        <w:gridCol w:w="2880"/>
      </w:tblGrid>
      <w:tr>
        <w:tc>
          <w:tcPr>
            <w:tcW w:type="dxa" w:w="2736"/>
            <w:shd w:val="clear" w:color="auto" w:fill="1F4E5F"/>
          </w:tcPr>
          <w:p>
            <w:pPr>
              <w:spacing w:after="40" w:before="40"/>
            </w:pPr>
            <w:r/>
            <w:r>
              <w:rPr>
                <w:b/>
                <w:color w:val="FFFFFF"/>
                <w:sz w:val="21"/>
              </w:rPr>
              <w:t>Player</w:t>
            </w:r>
          </w:p>
        </w:tc>
        <w:tc>
          <w:tcPr>
            <w:tcW w:type="dxa" w:w="3744"/>
            <w:shd w:val="clear" w:color="auto" w:fill="1F4E5F"/>
          </w:tcPr>
          <w:p>
            <w:pPr>
              <w:spacing w:after="40" w:before="40"/>
            </w:pPr>
            <w:r/>
            <w:r>
              <w:rPr>
                <w:b/>
                <w:color w:val="FFFFFF"/>
                <w:sz w:val="21"/>
              </w:rPr>
              <w:t>Focus</w:t>
            </w:r>
          </w:p>
        </w:tc>
        <w:tc>
          <w:tcPr>
            <w:tcW w:type="dxa" w:w="3168"/>
            <w:shd w:val="clear" w:color="auto" w:fill="1F4E5F"/>
          </w:tcPr>
          <w:p>
            <w:pPr>
              <w:spacing w:after="40" w:before="40"/>
            </w:pPr>
            <w:r/>
            <w:r>
              <w:rPr>
                <w:b/>
                <w:color w:val="FFFFFF"/>
                <w:sz w:val="21"/>
              </w:rPr>
              <w:t>Gap vs. Redd</w:t>
            </w:r>
          </w:p>
        </w:tc>
      </w:tr>
      <w:tr>
        <w:tc>
          <w:tcPr>
            <w:tcW w:type="dxa" w:w="2736"/>
          </w:tcPr>
          <w:p>
            <w:pPr>
              <w:spacing w:after="40" w:before="40"/>
            </w:pPr>
            <w:r/>
            <w:r>
              <w:rPr>
                <w:b/>
                <w:color w:val="1F4E5F"/>
                <w:sz w:val="20"/>
              </w:rPr>
              <w:t>MyDockLink / HydroHoist</w:t>
            </w:r>
          </w:p>
        </w:tc>
        <w:tc>
          <w:tcPr>
            <w:tcW w:type="dxa" w:w="3744"/>
          </w:tcPr>
          <w:p>
            <w:pPr>
              <w:spacing w:after="40" w:before="40"/>
            </w:pPr>
            <w:r/>
            <w:r>
              <w:rPr>
                <w:b w:val="0"/>
                <w:sz w:val="19"/>
              </w:rPr>
              <w:t>Boat-lift control, lighting, app; lift-OEM integrations.</w:t>
            </w:r>
          </w:p>
        </w:tc>
        <w:tc>
          <w:tcPr>
            <w:tcW w:type="dxa" w:w="3168"/>
          </w:tcPr>
          <w:p>
            <w:pPr>
              <w:spacing w:after="40" w:before="40"/>
            </w:pPr>
            <w:r/>
            <w:r>
              <w:rPr>
                <w:b w:val="0"/>
                <w:sz w:val="19"/>
              </w:rPr>
              <w:t>Convenience-led; no life-safety power hub [11].</w:t>
            </w:r>
          </w:p>
        </w:tc>
      </w:tr>
      <w:tr>
        <w:tc>
          <w:tcPr>
            <w:tcW w:type="dxa" w:w="2736"/>
          </w:tcPr>
          <w:p>
            <w:pPr>
              <w:spacing w:after="40" w:before="40"/>
            </w:pPr>
            <w:r/>
            <w:r>
              <w:rPr>
                <w:b/>
                <w:color w:val="1F4E5F"/>
                <w:sz w:val="20"/>
              </w:rPr>
              <w:t>DockTech</w:t>
            </w:r>
          </w:p>
        </w:tc>
        <w:tc>
          <w:tcPr>
            <w:tcW w:type="dxa" w:w="3744"/>
          </w:tcPr>
          <w:p>
            <w:pPr>
              <w:spacing w:after="40" w:before="40"/>
            </w:pPr>
            <w:r/>
            <w:r>
              <w:rPr>
                <w:b w:val="0"/>
                <w:sz w:val="19"/>
              </w:rPr>
              <w:t>LED lighting, cameras, access control, remote monitoring.</w:t>
            </w:r>
          </w:p>
        </w:tc>
        <w:tc>
          <w:tcPr>
            <w:tcW w:type="dxa" w:w="3168"/>
          </w:tcPr>
          <w:p>
            <w:pPr>
              <w:spacing w:after="40" w:before="40"/>
            </w:pPr>
            <w:r/>
            <w:r>
              <w:rPr>
                <w:b w:val="0"/>
                <w:sz w:val="19"/>
              </w:rPr>
              <w:t>Feature bundle without an ESD-grade safety core [11].</w:t>
            </w:r>
          </w:p>
        </w:tc>
      </w:tr>
      <w:tr>
        <w:tc>
          <w:tcPr>
            <w:tcW w:type="dxa" w:w="2736"/>
          </w:tcPr>
          <w:p>
            <w:pPr>
              <w:spacing w:after="40" w:before="40"/>
            </w:pPr>
            <w:r/>
            <w:r>
              <w:rPr>
                <w:b/>
                <w:color w:val="1F4E5F"/>
                <w:sz w:val="20"/>
              </w:rPr>
              <w:t>DockHub / Smart Docks</w:t>
            </w:r>
          </w:p>
        </w:tc>
        <w:tc>
          <w:tcPr>
            <w:tcW w:type="dxa" w:w="3744"/>
          </w:tcPr>
          <w:p>
            <w:pPr>
              <w:spacing w:after="40" w:before="40"/>
            </w:pPr>
            <w:r/>
            <w:r>
              <w:rPr>
                <w:b w:val="0"/>
                <w:sz w:val="19"/>
              </w:rPr>
              <w:t>Simplified wiring, app lighting, SONOS audio.</w:t>
            </w:r>
          </w:p>
        </w:tc>
        <w:tc>
          <w:tcPr>
            <w:tcW w:type="dxa" w:w="3168"/>
          </w:tcPr>
          <w:p>
            <w:pPr>
              <w:spacing w:after="40" w:before="40"/>
            </w:pPr>
            <w:r/>
            <w:r>
              <w:rPr>
                <w:b w:val="0"/>
                <w:sz w:val="19"/>
              </w:rPr>
              <w:t>Comfort ecosystem; safety not the anchor [11].</w:t>
            </w:r>
          </w:p>
        </w:tc>
      </w:tr>
      <w:tr>
        <w:tc>
          <w:tcPr>
            <w:tcW w:type="dxa" w:w="2736"/>
          </w:tcPr>
          <w:p>
            <w:pPr>
              <w:spacing w:after="40" w:before="40"/>
            </w:pPr>
            <w:r/>
            <w:r>
              <w:rPr>
                <w:b/>
                <w:color w:val="1F4E5F"/>
                <w:sz w:val="20"/>
              </w:rPr>
              <w:t>Premier Remotes / Lift-Mate</w:t>
            </w:r>
          </w:p>
        </w:tc>
        <w:tc>
          <w:tcPr>
            <w:tcW w:type="dxa" w:w="3744"/>
          </w:tcPr>
          <w:p>
            <w:pPr>
              <w:spacing w:after="40" w:before="40"/>
            </w:pPr>
            <w:r/>
            <w:r>
              <w:rPr>
                <w:b w:val="0"/>
                <w:sz w:val="19"/>
              </w:rPr>
              <w:t>Remote lift operation (BT / Wi-Fi / cellular).</w:t>
            </w:r>
          </w:p>
        </w:tc>
        <w:tc>
          <w:tcPr>
            <w:tcW w:type="dxa" w:w="3168"/>
          </w:tcPr>
          <w:p>
            <w:pPr>
              <w:spacing w:after="40" w:before="40"/>
            </w:pPr>
            <w:r/>
            <w:r>
              <w:rPr>
                <w:b w:val="0"/>
                <w:sz w:val="19"/>
              </w:rPr>
              <w:t>Single-function; not a whole-dock platform [11].</w:t>
            </w:r>
          </w:p>
        </w:tc>
      </w:tr>
    </w:tbl>
    <w:p>
      <w:pPr>
        <w:spacing w:after="120"/>
      </w:pPr>
      <w:r>
        <w:rPr>
          <w:i w:val="0"/>
          <w:sz w:val="22"/>
        </w:rPr>
      </w:r>
    </w:p>
    <w:p>
      <w:pPr>
        <w:pStyle w:val="Heading2"/>
      </w:pPr>
      <w:r>
        <w:t>4.3  Redd's white space</w:t>
      </w:r>
    </w:p>
    <w:p>
      <w:pPr>
        <w:spacing w:after="120"/>
      </w:pPr>
      <w:r>
        <w:rPr>
          <w:i w:val="0"/>
          <w:sz w:val="22"/>
        </w:rPr>
        <w:t>Detection players own the safety message but only alarm; ecosystem players own the platform but treat safety as a feature, not the foundation. Redd's thesis — a certified, source-side safety hub that de-energizes the dock, serving as the wireless spine for a modular ecosystem (lighting, cameras, access control, audio, monitoring) — combines the credibility of the first camp with the recurring-revenue platform of the second. Winning requires being demonstrably safer than the detectors and a more coherent platform than the comfort brands.</w:t>
      </w:r>
    </w:p>
    <w:p>
      <w:pPr>
        <w:pStyle w:val="Heading1"/>
      </w:pPr>
      <w:r>
        <w:t>5.  Regulatory and Standards Environment</w:t>
      </w:r>
    </w:p>
    <w:p>
      <w:pPr>
        <w:spacing w:after="120"/>
      </w:pPr>
      <w:r>
        <w:rPr>
          <w:i w:val="0"/>
          <w:sz w:val="22"/>
        </w:rPr>
        <w:t>Standards are both a barrier to clear and a moat to build. The relevant frameworks are ABYC E-11 (ELCI, 30 mA within 10 ft of the shore-power inlet), NEC Article 555 (30 mA ground-fault protection for docking facilities, substantially expanded in 2020), and NFPA/UL product-safety listings [3][4]. Pursuing UL listing and ABYC alignment early is the single highest-leverage move available: a recognized third-party stamp is the credential installers and insurers require, and it materially raises the barrier for lower-cost imitators. Certification should be treated as a core product milestone, not a compliance afterthought.</w:t>
      </w:r>
    </w:p>
    <w:p>
      <w:pPr>
        <w:pStyle w:val="Heading1"/>
      </w:pPr>
      <w:r>
        <w:t>6.  Go-to-Market: Channel Economics and the Insurance Flywheel</w:t>
      </w:r>
    </w:p>
    <w:p>
      <w:pPr>
        <w:pStyle w:val="Heading2"/>
      </w:pPr>
      <w:r>
        <w:t>6.1  The installer channel is the true customer</w:t>
      </w:r>
    </w:p>
    <w:p>
      <w:pPr>
        <w:spacing w:after="120"/>
      </w:pPr>
      <w:r>
        <w:rPr>
          <w:i w:val="0"/>
          <w:sz w:val="22"/>
        </w:rPr>
        <w:t>Waterfront homeowners rarely specify dock electrical hardware; the installer does. Redd's proposed indefinite installer commission — a recurring share of subscription revenue tied to the installer's code on a dock — aligns the channel's incentives with Redd's for the life of the asset and creates a referral moat. Two design cautions carry over from the prior memo: the commission terms must define installer turnover, business closure, disputes, and code-gaming before real money flows; and the data-sharing that lets installers service 'their' docks must be governed by clear consent, because it is simultaneously a privacy obligation and a competitive asset.</w:t>
      </w:r>
    </w:p>
    <w:p>
      <w:pPr>
        <w:pStyle w:val="Heading2"/>
      </w:pPr>
      <w:r>
        <w:t>6.2  The insurance flywheel</w:t>
      </w:r>
    </w:p>
    <w:p>
      <w:pPr>
        <w:spacing w:after="120"/>
      </w:pPr>
      <w:r>
        <w:rPr>
          <w:i w:val="0"/>
          <w:sz w:val="22"/>
        </w:rPr>
        <w:t>Because carriers already discount monitored safety devices [12], a certified Redd hub can plausibly earn premium reductions that offset its cost, converting price objections into net savings. A single waterfront-heavy carrier pilot — backed by a one-page underwriting case built on ESD fatality and pediatric-drowning data — is a more tractable entry than a broad insurance push, and a successful pilot turns the insurer into a distribution partner.</w:t>
      </w:r>
    </w:p>
    <w:p>
      <w:pPr>
        <w:pStyle w:val="Heading1"/>
      </w:pPr>
      <w:r>
        <w:t>7.  Strategic Risks and Considerations</w:t>
      </w:r>
    </w:p>
    <w:p>
      <w:pPr>
        <w:pStyle w:val="ListBullet"/>
        <w:spacing w:after="80"/>
      </w:pPr>
      <w:r>
        <w:rPr>
          <w:b/>
        </w:rPr>
        <w:t xml:space="preserve">Safety must not depend on connectivity. </w:t>
      </w:r>
      <w:r>
        <w:rPr>
          <w:b w:val="0"/>
        </w:rPr>
        <w:t>Per-dock cellular erodes subscription margin and adds a failure point; the ESD cutoff must operate fully offline. A safety shutoff that needs a signal is neither safe nor certifiable — treat local-first operation as non-negotiable and use Wi-Fi-first with cellular fallback for the smart layer.</w:t>
      </w:r>
    </w:p>
    <w:p>
      <w:pPr>
        <w:pStyle w:val="ListBullet"/>
        <w:spacing w:after="80"/>
      </w:pPr>
      <w:r>
        <w:rPr>
          <w:b/>
        </w:rPr>
        <w:t xml:space="preserve">Liability is inherent to a safety brand. </w:t>
      </w:r>
      <w:r>
        <w:rPr>
          <w:b w:val="0"/>
        </w:rPr>
        <w:t>Selling life-safety invites scrutiny when a device underperforms. This is an argument for certification, conservative marketing claims, and clear user guidance — and it is also the moat, because it deters casual entrants.</w:t>
      </w:r>
    </w:p>
    <w:p>
      <w:pPr>
        <w:pStyle w:val="ListBullet"/>
        <w:spacing w:after="80"/>
      </w:pPr>
      <w:r>
        <w:rPr>
          <w:b/>
        </w:rPr>
        <w:t xml:space="preserve">Detection incumbents will reframe. </w:t>
      </w:r>
      <w:r>
        <w:rPr>
          <w:b w:val="0"/>
        </w:rPr>
        <w:t>Established detection brands may add shutoff features or claim equivalence. Redd's defense is to lead on certification, integration depth, and the platform, not on any single feature.</w:t>
      </w:r>
    </w:p>
    <w:p>
      <w:pPr>
        <w:pStyle w:val="ListBullet"/>
        <w:spacing w:after="80"/>
      </w:pPr>
      <w:r>
        <w:rPr>
          <w:b/>
        </w:rPr>
        <w:t xml:space="preserve">Brand ambiguity. </w:t>
      </w:r>
      <w:r>
        <w:rPr>
          <w:b w:val="0"/>
        </w:rPr>
        <w:t>“Redd” is memorable but collides phonetically with “Red”/“Read.” Secure the trademark, matching domains, and social handles now, and plan for the search/spelling friction.</w:t>
      </w:r>
    </w:p>
    <w:p>
      <w:pPr>
        <w:pStyle w:val="ListBullet"/>
        <w:spacing w:after="80"/>
      </w:pPr>
      <w:r>
        <w:rPr>
          <w:b/>
        </w:rPr>
        <w:t xml:space="preserve">Channel concentration. </w:t>
      </w:r>
      <w:r>
        <w:rPr>
          <w:b w:val="0"/>
        </w:rPr>
        <w:t>Dependence on installers is a strength and a risk; a thin early installer base means each relationship is load-bearing. The Wrightsville Beach density strategy mitigates this by making each installer's book locally valuable.</w:t>
      </w:r>
    </w:p>
    <w:p>
      <w:pPr>
        <w:pStyle w:val="Heading1"/>
      </w:pPr>
      <w:r>
        <w:t>8.  Conclusion and Recommendations</w:t>
      </w:r>
    </w:p>
    <w:p>
      <w:pPr>
        <w:spacing w:after="120"/>
      </w:pPr>
      <w:r>
        <w:rPr>
          <w:i w:val="0"/>
          <w:sz w:val="22"/>
        </w:rPr>
        <w:t>The market conditions favor a safety-first entrant with a platform strategy. Demand drivers (affluent owners, large adjacent markets, tightening codes, insurer incentives) are aligned, and the competitive field has a genuine, defensible gap between alert-only detectors and safety-agnostic comfort ecosystems. Redd's priorities:</w:t>
      </w:r>
    </w:p>
    <w:p>
      <w:pPr>
        <w:pStyle w:val="ListNumber"/>
        <w:spacing w:after="80"/>
      </w:pPr>
      <w:r>
        <w:rPr>
          <w:b/>
          <w:color w:val="1F4E5F"/>
        </w:rPr>
        <w:t>Lead with the ESD hub as the wedge</w:t>
      </w:r>
      <w:r>
        <w:t>; comfort modules expand the account, they do not open it.</w:t>
      </w:r>
    </w:p>
    <w:p>
      <w:pPr>
        <w:pStyle w:val="ListNumber"/>
        <w:spacing w:after="80"/>
      </w:pPr>
      <w:r>
        <w:rPr>
          <w:b/>
          <w:color w:val="1F4E5F"/>
        </w:rPr>
        <w:t>Make certification a product milestone</w:t>
      </w:r>
      <w:r>
        <w:t>— UL listing and ABYC/NEC alignment are the credential the whole channel depends on.</w:t>
      </w:r>
    </w:p>
    <w:p>
      <w:pPr>
        <w:pStyle w:val="ListNumber"/>
        <w:spacing w:after="80"/>
      </w:pPr>
      <w:r>
        <w:rPr>
          <w:b/>
          <w:color w:val="1F4E5F"/>
        </w:rPr>
        <w:t>Build one insurer pilot</w:t>
      </w:r>
      <w:r>
        <w:t>around a data-backed underwriting case before pursuing the broader market.</w:t>
      </w:r>
    </w:p>
    <w:p>
      <w:pPr>
        <w:pStyle w:val="ListNumber"/>
        <w:spacing w:after="80"/>
      </w:pPr>
      <w:r>
        <w:rPr>
          <w:b/>
          <w:color w:val="1F4E5F"/>
        </w:rPr>
        <w:t>Formalize the installer-commission moat</w:t>
      </w:r>
      <w:r>
        <w:t>with explicit terms for turnover, disputes, and data consent.</w:t>
      </w:r>
    </w:p>
    <w:p>
      <w:pPr>
        <w:pStyle w:val="ListNumber"/>
        <w:spacing w:after="80"/>
      </w:pPr>
      <w:r>
        <w:rPr>
          <w:b/>
          <w:color w:val="1F4E5F"/>
        </w:rPr>
        <w:t>Guarantee offline safety operation</w:t>
      </w:r>
      <w:r>
        <w:t>; keep the cutoff local-first, Wi-Fi-first with cellular fallback for the smart layer.</w:t>
      </w:r>
    </w:p>
    <w:p>
      <w:pPr>
        <w:pStyle w:val="ListNumber"/>
        <w:spacing w:after="80"/>
      </w:pPr>
      <w:r>
        <w:rPr>
          <w:b/>
          <w:color w:val="1F4E5F"/>
        </w:rPr>
        <w:t>Lock down brand and IP</w:t>
      </w:r>
      <w:r>
        <w:t>(trademark, domains, handles) immediately.</w:t>
      </w:r>
    </w:p>
    <w:p>
      <w:pPr>
        <w:pStyle w:val="ListNumber"/>
        <w:spacing w:after="80"/>
      </w:pPr>
      <w:r>
        <w:rPr>
          <w:b/>
          <w:color w:val="1F4E5F"/>
        </w:rPr>
        <w:t>Prove density at Wrightsville Beach</w:t>
      </w:r>
      <w:r>
        <w:t>then template the expansion to comparable Southeast waterfront communities.</w:t>
      </w:r>
    </w:p>
    <w:p>
      <w:pPr>
        <w:pStyle w:val="ListNumber"/>
        <w:spacing w:after="80"/>
      </w:pPr>
      <w:r>
        <w:rPr>
          <w:b/>
          <w:color w:val="1F4E5F"/>
        </w:rPr>
        <w:t>Track ESD regulation as a sales trigger</w:t>
      </w:r>
      <w:r>
        <w:t>and position ahead of the next code or state mandate.</w:t>
      </w:r>
    </w:p>
    <w:p>
      <w:r>
        <w:br w:type="page"/>
      </w:r>
    </w:p>
    <w:p>
      <w:pPr>
        <w:pStyle w:val="Heading1"/>
      </w:pPr>
      <w:r>
        <w:t>Sources</w:t>
      </w:r>
    </w:p>
    <w:p>
      <w:pPr>
        <w:spacing w:after="60"/>
      </w:pPr>
      <w:r>
        <w:rPr>
          <w:b/>
          <w:color w:val="1F4E5F"/>
          <w:sz w:val="19"/>
        </w:rPr>
        <w:t xml:space="preserve">[1]  </w:t>
      </w:r>
      <w:r>
        <w:rPr>
          <w:sz w:val="19"/>
        </w:rPr>
        <w:t>CDC — Drowning Data &amp; Facts (leading cause of death, ages 1–4; ~4,500 deaths/yr). cdc.gov/drowning</w:t>
      </w:r>
    </w:p>
    <w:p>
      <w:pPr>
        <w:spacing w:after="60"/>
      </w:pPr>
      <w:r>
        <w:rPr>
          <w:b/>
          <w:color w:val="1F4E5F"/>
          <w:sz w:val="19"/>
        </w:rPr>
        <w:t xml:space="preserve">[2]  </w:t>
      </w:r>
      <w:r>
        <w:rPr>
          <w:sz w:val="19"/>
        </w:rPr>
        <w:t>Electric Shock Drowning Prevention Association; Cleveland19 News — ~90 documented U.S. ESD cases since 1986; near-100% fatality. electricshockdrowning.org</w:t>
      </w:r>
    </w:p>
    <w:p>
      <w:pPr>
        <w:spacing w:after="60"/>
      </w:pPr>
      <w:r>
        <w:rPr>
          <w:b/>
          <w:color w:val="1F4E5F"/>
          <w:sz w:val="19"/>
        </w:rPr>
        <w:t xml:space="preserve">[3]  </w:t>
      </w:r>
      <w:r>
        <w:rPr>
          <w:sz w:val="19"/>
        </w:rPr>
        <w:t>ABYC E-11 / Blue Sea Systems — ELCI 30 mA ground-fault protection; &gt;30 mA leakage potentially fatal to swimmers. bluesea.com</w:t>
      </w:r>
    </w:p>
    <w:p>
      <w:pPr>
        <w:spacing w:after="60"/>
      </w:pPr>
      <w:r>
        <w:rPr>
          <w:b/>
          <w:color w:val="1F4E5F"/>
          <w:sz w:val="19"/>
        </w:rPr>
        <w:t xml:space="preserve">[4]  </w:t>
      </w:r>
      <w:r>
        <w:rPr>
          <w:sz w:val="19"/>
        </w:rPr>
        <w:t>EC&amp;M; NEC Article 555 — 30 mA ground-fault protection for docking facilities (2020 NEC revision). ecmweb.com</w:t>
      </w:r>
    </w:p>
    <w:p>
      <w:pPr>
        <w:spacing w:after="60"/>
      </w:pPr>
      <w:r>
        <w:rPr>
          <w:b/>
          <w:color w:val="1F4E5F"/>
          <w:sz w:val="19"/>
        </w:rPr>
        <w:t xml:space="preserve">[5]  </w:t>
      </w:r>
      <w:r>
        <w:rPr>
          <w:sz w:val="19"/>
        </w:rPr>
        <w:t>National Marine Manufacturers Association (NMMA) — 2024 U.S. Recreational Boating Statistical Abstract: 11.8M registered boats; $55.6B retail; ~$230B economic impact. nmma.org</w:t>
      </w:r>
    </w:p>
    <w:p>
      <w:pPr>
        <w:spacing w:after="60"/>
      </w:pPr>
      <w:r>
        <w:rPr>
          <w:b/>
          <w:color w:val="1F4E5F"/>
          <w:sz w:val="19"/>
        </w:rPr>
        <w:t xml:space="preserve">[6]  </w:t>
      </w:r>
      <w:r>
        <w:rPr>
          <w:sz w:val="19"/>
        </w:rPr>
        <w:t>Precedence Research — U.S. smart-home market ~$46.2B (2025), ~26% CAGR to 2035. precedenceresearch.com</w:t>
      </w:r>
    </w:p>
    <w:p>
      <w:pPr>
        <w:spacing w:after="60"/>
      </w:pPr>
      <w:r>
        <w:rPr>
          <w:b/>
          <w:color w:val="1F4E5F"/>
          <w:sz w:val="19"/>
        </w:rPr>
        <w:t xml:space="preserve">[7]  </w:t>
      </w:r>
      <w:r>
        <w:rPr>
          <w:sz w:val="19"/>
        </w:rPr>
        <w:t>Grand View Research — U.S. marine-electronics market ~$1.83B (2024) → ~$2.38B (2030), 4.7% CAGR. grandviewresearch.com</w:t>
      </w:r>
    </w:p>
    <w:p>
      <w:pPr>
        <w:spacing w:after="60"/>
      </w:pPr>
      <w:r>
        <w:rPr>
          <w:b/>
          <w:color w:val="1F4E5F"/>
          <w:sz w:val="19"/>
        </w:rPr>
        <w:t xml:space="preserve">[8]  </w:t>
      </w:r>
      <w:r>
        <w:rPr>
          <w:sz w:val="19"/>
        </w:rPr>
        <w:t>Grand View Research; Market Research Future — U.S. docks market ~$1.9B (2025); residential boat docks &amp; lifts ~$2.4B (2023). grandviewresearch.com</w:t>
      </w:r>
    </w:p>
    <w:p>
      <w:pPr>
        <w:spacing w:after="60"/>
      </w:pPr>
      <w:r>
        <w:rPr>
          <w:b/>
          <w:color w:val="1F4E5F"/>
          <w:sz w:val="19"/>
        </w:rPr>
        <w:t xml:space="preserve">[9]  </w:t>
      </w:r>
      <w:r>
        <w:rPr>
          <w:sz w:val="19"/>
        </w:rPr>
        <w:t>Zillow (via Qazzoo); ShoreMaster; Old Florida Docks — waterfront ~116% value premium; dock adds 10–20% / ~$14–20K. qazzoo.com; shoremaster.com</w:t>
      </w:r>
    </w:p>
    <w:p>
      <w:pPr>
        <w:spacing w:after="60"/>
      </w:pPr>
      <w:r>
        <w:rPr>
          <w:b/>
          <w:color w:val="1F4E5F"/>
          <w:sz w:val="19"/>
        </w:rPr>
        <w:t xml:space="preserve">[10]  </w:t>
      </w:r>
      <w:r>
        <w:rPr>
          <w:sz w:val="19"/>
        </w:rPr>
        <w:t>Dock Lifeguard; WaveLink Secure; ShockAlarm — ESD detection product landscape and detection radii. docklifeguard.com; wavelinksecure.com</w:t>
      </w:r>
    </w:p>
    <w:p>
      <w:pPr>
        <w:spacing w:after="60"/>
      </w:pPr>
      <w:r>
        <w:rPr>
          <w:b/>
          <w:color w:val="1F4E5F"/>
          <w:sz w:val="19"/>
        </w:rPr>
        <w:t xml:space="preserve">[11]  </w:t>
      </w:r>
      <w:r>
        <w:rPr>
          <w:sz w:val="19"/>
        </w:rPr>
        <w:t>MyDockLink; DockTech; DockHub; Smart Docks; Premier Remotes; Lift-Mate — smart-dock ecosystem players. mydocklink.com; docktech.io</w:t>
      </w:r>
    </w:p>
    <w:p>
      <w:pPr>
        <w:spacing w:after="60"/>
      </w:pPr>
      <w:r>
        <w:rPr>
          <w:b/>
          <w:color w:val="1F4E5F"/>
          <w:sz w:val="19"/>
        </w:rPr>
        <w:t xml:space="preserve">[12]  </w:t>
      </w:r>
      <w:r>
        <w:rPr>
          <w:sz w:val="19"/>
        </w:rPr>
        <w:t>NerdWallet; The Zebra; Liberty Mutual; USAA; Nationwide — smart-safety device insurance discounts of 5–20%. nerdwallet.com; thezebra.com</w:t>
      </w:r>
    </w:p>
    <w:p>
      <w:pPr>
        <w:spacing w:after="60"/>
      </w:pPr>
      <w:r>
        <w:rPr>
          <w:b/>
          <w:color w:val="1F4E5F"/>
          <w:sz w:val="19"/>
        </w:rPr>
        <w:t xml:space="preserve">[13]  </w:t>
      </w:r>
      <w:r>
        <w:rPr>
          <w:sz w:val="19"/>
        </w:rPr>
        <w:t>Tennessee State Fire Marshal's Office — Noah Dean and Nate Act (2014): dock GFCI, signage, and inspection requirements. tn.gov/commerce</w:t>
      </w:r>
    </w:p>
    <w:p>
      <w:pPr>
        <w:pStyle w:val="Heading1"/>
      </w:pPr>
      <w:r>
        <w:t>Appendix — Sizing Methodology &amp; Assumptions</w:t>
      </w:r>
    </w:p>
    <w:p>
      <w:pPr>
        <w:spacing w:after="120"/>
      </w:pPr>
      <w:r>
        <w:rPr>
          <w:i w:val="0"/>
          <w:sz w:val="22"/>
        </w:rPr>
        <w:t>This review deliberately avoids a false-precision TAM. No authoritative census of private U.S. residential docks exists, so the sizing is bounded rather than pinpointed:</w:t>
      </w:r>
    </w:p>
    <w:p>
      <w:pPr>
        <w:pStyle w:val="ListBullet"/>
        <w:spacing w:after="80"/>
      </w:pPr>
      <w:r>
        <w:rPr>
          <w:b/>
        </w:rPr>
        <w:t xml:space="preserve">TAM </w:t>
      </w:r>
      <w:r>
        <w:rPr>
          <w:b w:val="0"/>
        </w:rPr>
        <w:t>is the combined annual U.S. spend across the adjacent markets Redd's ecosystem touches (residential dock hardware, marine electronics, and dock-adjacent smart-home safety), used as an outer bound rather than a capturable figure [7][8].</w:t>
      </w:r>
    </w:p>
    <w:p>
      <w:pPr>
        <w:pStyle w:val="ListBullet"/>
        <w:spacing w:after="80"/>
      </w:pPr>
      <w:r>
        <w:rPr>
          <w:b/>
        </w:rPr>
        <w:t xml:space="preserve">SAM </w:t>
      </w:r>
      <w:r>
        <w:rPr>
          <w:b w:val="0"/>
        </w:rPr>
        <w:t>is built from the installed base of high-value private docks plausibly served by an installer-led model. As an illustrative anchor: with ~11.8M registered boats [5], even a modest share kept at private residential docks implies on the order of 1–2 million target docks; multiplied by a mid-single-thousand-dollar hardware package, this frames a multi-billion-dollar installed hardware opportunity. This figure should be replaced with primary installer and county waterfront-parcel data.</w:t>
      </w:r>
    </w:p>
    <w:p>
      <w:pPr>
        <w:pStyle w:val="ListBullet"/>
        <w:spacing w:after="80"/>
      </w:pPr>
      <w:r>
        <w:rPr>
          <w:b/>
        </w:rPr>
        <w:t xml:space="preserve">SOM </w:t>
      </w:r>
      <w:r>
        <w:rPr>
          <w:b w:val="0"/>
        </w:rPr>
        <w:t>is the 3-year obtainable beachhead: Wrightsville Beach and comparable Carolinas/Southeast waterfront communities reachable through a small set of approved installers, measured in the low thousands of docks plus recurring subscription revenue.</w:t>
      </w:r>
    </w:p>
    <w:p>
      <w:pPr>
        <w:spacing w:after="120"/>
      </w:pPr>
      <w:r>
        <w:rPr>
          <w:i/>
          <w:color w:val="555555"/>
          <w:sz w:val="20"/>
        </w:rPr>
        <w:t>All market-size figures are drawn from third-party research and industry associations as cited; they vary by methodology and should be treated as directional. Recommended next step: commission a bottoms-up dock count for two or three target counties to calibrate SAM precisely.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6"/>
      </w:rPr>
      <w:t xml:space="preserve">Redd Marine  |  Market Review  |  Confidential — Page </w:t>
    </w:r>
    <w:fldSimple w:instr="PAGE">
      <w:r>
        <w:rPr>
          <w:sz w:val="16"/>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42E3D"/>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4E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142E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