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000000"/>
        </w:rPr>
        <w:t>Redd Marine – Suggestions Log</w:t>
      </w:r>
    </w:p>
    <w:p>
      <w:pPr>
        <w:pBdr>
          <w:bottom w:val="single" w:sz="6" w:space="4" w:color="1F4E5F"/>
        </w:pBdr>
      </w:pPr>
      <w:r>
        <w:rPr>
          <w:i/>
          <w:color w:val="555555"/>
          <w:sz w:val="20"/>
        </w:rPr>
        <w:t>Claude’s running notes on the company concept. New entries added over time.</w:t>
      </w:r>
    </w:p>
    <w:p>
      <w:pPr>
        <w:pStyle w:val="Heading2"/>
      </w:pPr>
      <w:r>
        <w:rPr>
          <w:rFonts w:ascii="Arial" w:hAnsi="Arial"/>
          <w:color w:val="1F4E5F"/>
        </w:rPr>
        <w:t>Entry — July 6, 2026, 1:28 PM EDT</w:t>
      </w:r>
    </w:p>
    <w:p>
      <w:pPr>
        <w:pStyle w:val="ListBullet"/>
      </w:pPr>
      <w:r>
        <w:rPr>
          <w:rFonts w:ascii="Arial" w:hAnsi="Arial"/>
          <w:b/>
        </w:rPr>
        <w:t>Lead with the ESD safety hub as the wedge.</w:t>
      </w:r>
      <w:r>
        <w:rPr>
          <w:rFonts w:ascii="Arial" w:hAnsi="Arial"/>
        </w:rPr>
        <w:t xml:space="preserve"> It is the one product that is differentiated, defensible, and hard to argue against. Comfort modules (speakers, misting) are commoditized — use them to expand the account later, not to open it.</w:t>
      </w:r>
    </w:p>
    <w:p>
      <w:pPr>
        <w:pStyle w:val="ListBullet"/>
      </w:pPr>
      <w:r>
        <w:rPr>
          <w:rFonts w:ascii="Arial" w:hAnsi="Arial"/>
          <w:b/>
        </w:rPr>
        <w:t>Pursue recognized safety certification early (UL / ABYC E-11, NEC compliance).</w:t>
      </w:r>
      <w:r>
        <w:rPr>
          <w:rFonts w:ascii="Arial" w:hAnsi="Arial"/>
        </w:rPr>
        <w:t xml:space="preserve"> A third-party stamp is your single biggest lever with both installers and insurers, and it raises the barrier for copycats.</w:t>
      </w:r>
    </w:p>
    <w:p>
      <w:pPr>
        <w:pStyle w:val="ListBullet"/>
      </w:pPr>
      <w:r>
        <w:rPr>
          <w:rFonts w:ascii="Arial" w:hAnsi="Arial"/>
          <w:b/>
        </w:rPr>
        <w:t>Turn the safety stats into a formal insurer pitch.</w:t>
      </w:r>
      <w:r>
        <w:rPr>
          <w:rFonts w:ascii="Arial" w:hAnsi="Arial"/>
        </w:rPr>
        <w:t xml:space="preserve"> The near-100% ESD fatality rate and pediatric drowning numbers are a strong actuarial story. Package them into a one-page underwriting case and pilot with a single waterfront-heavy carrier rather than approaching the whole market.</w:t>
      </w:r>
    </w:p>
    <w:p>
      <w:pPr>
        <w:pStyle w:val="ListBullet"/>
      </w:pPr>
      <w:r>
        <w:rPr>
          <w:rFonts w:ascii="Arial" w:hAnsi="Arial"/>
          <w:b/>
        </w:rPr>
        <w:t>Tighten the installer commission terms before launch.</w:t>
      </w:r>
      <w:r>
        <w:rPr>
          <w:rFonts w:ascii="Arial" w:hAnsi="Arial"/>
        </w:rPr>
        <w:t xml:space="preserve"> Perpetual commission tied to an installer code is a smart moat, but define what happens on installer change, business closure, disputes, and code-gaming up front — these get contentious once real money flows.</w:t>
      </w:r>
    </w:p>
    <w:p>
      <w:pPr>
        <w:pStyle w:val="ListBullet"/>
      </w:pPr>
      <w:r>
        <w:rPr>
          <w:rFonts w:ascii="Arial" w:hAnsi="Arial"/>
          <w:b/>
        </w:rPr>
        <w:t>Reconsider cellular as the default connectivity.</w:t>
      </w:r>
      <w:r>
        <w:rPr>
          <w:rFonts w:ascii="Arial" w:hAnsi="Arial"/>
        </w:rPr>
        <w:t xml:space="preserve"> Per-dock cellular erodes subscription margin and adds a failure point. Consider WiFi-first with cellular fallback, and make sure the core ESD cutoff works fully offline — a safety shutoff must never depend on a signal.</w:t>
      </w:r>
    </w:p>
    <w:p>
      <w:pPr>
        <w:pStyle w:val="ListBullet"/>
      </w:pPr>
      <w:r>
        <w:rPr>
          <w:rFonts w:ascii="Arial" w:hAnsi="Arial"/>
          <w:b/>
        </w:rPr>
        <w:t>Lock down the brand assets now.</w:t>
      </w:r>
      <w:r>
        <w:rPr>
          <w:rFonts w:ascii="Arial" w:hAnsi="Arial"/>
        </w:rPr>
        <w:t xml:space="preserve"> “Redd” is memorable but phonetically collides with “Red”/“Read.” Secure the trademark, matching domains, and social handles early, and plan for the SEO/spelling ambiguity.</w:t>
      </w:r>
    </w:p>
    <w:p>
      <w:pPr>
        <w:pStyle w:val="ListBullet"/>
      </w:pPr>
      <w:r>
        <w:rPr>
          <w:rFonts w:ascii="Arial" w:hAnsi="Arial"/>
          <w:b/>
        </w:rPr>
        <w:t>Use Wrightsville Beach as a visible proof-of-concept.</w:t>
      </w:r>
      <w:r>
        <w:rPr>
          <w:rFonts w:ascii="Arial" w:hAnsi="Arial"/>
        </w:rPr>
        <w:t xml:space="preserve"> A dense cluster of installed docks in one affluent waterway creates referral gravity and a filmable demo. Nail one market, then template the expansion to comparable high-value waterfront communities.</w:t>
      </w:r>
    </w:p>
    <w:p>
      <w:pPr>
        <w:pStyle w:val="ListBullet"/>
      </w:pPr>
      <w:r>
        <w:rPr>
          <w:rFonts w:ascii="Arial" w:hAnsi="Arial"/>
          <w:b/>
        </w:rPr>
        <w:t>Track ESD regulation as a sales trigger.</w:t>
      </w:r>
      <w:r>
        <w:rPr>
          <w:rFonts w:ascii="Arial" w:hAnsi="Arial"/>
        </w:rPr>
        <w:t xml:space="preserve"> Marina codes and some state/local rules increasingly mandate ESD protection. Monitoring where requirements are tightening tells you which markets are primed to convert.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