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2B46"/>
          <w:sz w:val="44"/>
          <w:szCs w:val="44"/>
        </w:rPr>
        <w:t xml:space="preserve">BridgeSure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Compliance-Continuous Escrow for Cross-Border Trade</w:t>
      </w:r>
    </w:p>
    <w:p>
      <w:pPr>
        <w:pBdr>
          <w:bottom w:val="single" w:color="D5E0EA" w:sz="12"/>
        </w:pBdr>
        <w:spacing w:after="40"/>
      </w:pPr>
      <w:r>
        <w:rPr>
          <w:rFonts w:ascii="Calibri" w:cs="Calibri" w:eastAsia="Calibri" w:hAnsi="Calibri"/>
          <w:i/>
          <w:iCs/>
          <w:color w:val="3B4550"/>
          <w:sz w:val="20"/>
          <w:szCs w:val="20"/>
        </w:rPr>
        <w:t xml:space="preserve">An escrow on Monad where every milestone payout is a fresh Cleanverse compliance decision - not a check bolted on at onboarding.</w:t>
      </w:r>
    </w:p>
    <w:p>
      <w:pPr>
        <w:pBdr>
          <w:bottom w:val="single" w:color="D5E0EA" w:sz="6"/>
        </w:pBdr>
        <w:spacing w:after="70" w:before="160"/>
      </w:pPr>
      <w:r>
        <w:rPr>
          <w:rFonts w:ascii="Calibri" w:cs="Calibri" w:eastAsia="Calibri" w:hAnsi="Calibri"/>
          <w:b/>
          <w:bCs/>
          <w:color w:val="0F2B46"/>
          <w:sz w:val="22"/>
          <w:szCs w:val="22"/>
        </w:rPr>
        <w:t xml:space="preserve">PROBLEM</w:t>
      </w:r>
    </w:p>
    <w:p>
      <w:pPr>
        <w:spacing w:after="9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Escrow software typically verifies compliance once, at onboarding, then pays out milestone installments on autopilot.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An identity credential (Cleanverse A-Pass) that was valid at deposit can be frozen, expired, or jurisdiction-blocked thirty minutes later - mid-trade, while money is moving.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Static integrations keep releasing funds until a human notices - exactly the failure mode regulators distrust in cross-border settlement, and the gap this demo closes.</w:t>
      </w:r>
    </w:p>
    <w:p>
      <w:pPr>
        <w:pBdr>
          <w:bottom w:val="single" w:color="D5E0EA" w:sz="6"/>
        </w:pBdr>
        <w:spacing w:after="70" w:before="160"/>
      </w:pPr>
      <w:r>
        <w:rPr>
          <w:rFonts w:ascii="Calibri" w:cs="Calibri" w:eastAsia="Calibri" w:hAnsi="Calibri"/>
          <w:b/>
          <w:bCs/>
          <w:color w:val="0F2B46"/>
          <w:sz w:val="22"/>
          <w:szCs w:val="22"/>
        </w:rPr>
        <w:t xml:space="preserve">SOLUTION</w:t>
      </w:r>
    </w:p>
    <w:p>
      <w:pPr>
        <w:spacing w:after="9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One escrow, one verified asset, two milestone payouts. Every release is a fresh, reason-coded decision taken seconds before funds move.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Before each release the API re-verifies both parties in the same attempt (fresh A-Pass + CVI validator results), then a short-lived signed authorization is submitted; the contract independently re-checks the validator and the signature immediately before transferring tokens.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Any stale, frozen, or ineligible participant fails the release closed with a machine-readable reason code - balances and milestone state unchanged.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Reproducible lifecycle: fund with aUSDC, release milestone one cleanly, freeze the exporter, attempt milestone two (blocked, funds preserved), then export the audit and Travel Rule evidence.</w:t>
      </w:r>
    </w:p>
    <w:p>
      <w:pPr>
        <w:pBdr>
          <w:bottom w:val="single" w:color="D5E0EA" w:sz="6"/>
        </w:pBdr>
        <w:spacing w:after="70" w:before="160"/>
      </w:pPr>
      <w:r>
        <w:rPr>
          <w:rFonts w:ascii="Calibri" w:cs="Calibri" w:eastAsia="Calibri" w:hAnsi="Calibri"/>
          <w:b/>
          <w:bCs/>
          <w:color w:val="0F2B46"/>
          <w:sz w:val="22"/>
          <w:szCs w:val="22"/>
        </w:rPr>
        <w:t xml:space="preserve">CVI · CVA INTEGRATION POINTS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500"/>
      </w:tblGrid>
      <w:tr>
        <w:trPr>
          <w:tblHeader/>
        </w:trPr>
        <w:tc>
          <w:tcPr>
            <w:tcW w:type="dxa" w:w="2300"/>
            <w:shd w:fill="EEF3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Primitive</w:t>
            </w:r>
          </w:p>
        </w:tc>
        <w:tc>
          <w:tcPr>
            <w:tcW w:type="dxa" w:w="8500"/>
            <w:shd w:fill="EEF3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What BridgeSure does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CVI - A-Pass identity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verify_apass must return code 4 (eligible) for both parties; the contract calls IAPassComplianceValidator.complianceVerify(escrow, participant) directly and reverts on false or pause.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CVA - aUSDC verified asset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escrow custodies only the verified A-Token (origin USDC). aUSDC’s own canTransfer policy hook runs as an independent second gate inside the release path.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B46"/>
                <w:sz w:val="19"/>
                <w:szCs w:val="19"/>
              </w:rPr>
              <w:t xml:space="preserve">CCP - policy + Travel Rule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Fresh jurisdiction and policy checks per attempt; every decision is reason-coded and the audit packet exports as a Travel Rule report.</w:t>
            </w:r>
          </w:p>
        </w:tc>
      </w:tr>
    </w:tbl>
    <w:p>
      <w:pPr>
        <w:spacing w:after="30" w:before="110" w:line="245"/>
      </w:pPr>
      <w:r>
        <w:rPr>
          <w:rFonts w:ascii="Calibri" w:cs="Calibri" w:eastAsia="Calibri" w:hAnsi="Calibri"/>
          <w:b/>
          <w:bCs/>
          <w:color w:val="0F2B46"/>
          <w:sz w:val="19"/>
          <w:szCs w:val="19"/>
        </w:rPr>
        <w:t xml:space="preserve">Release invariant (fails closed): 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same-attempt verify_apass = 4 AND validator valid = true AND valid local state, then a short-lived EIP-712 authorization bound to chain, escrow, trade, milestone, both parties, token, amount, nonce, expiry and evidence digest; the contract re-verifies everything before transferring.</w:t>
      </w:r>
    </w:p>
    <w:p>
      <w:pPr>
        <w:pBdr>
          <w:bottom w:val="single" w:color="D5E0EA" w:sz="6"/>
        </w:pBdr>
        <w:spacing w:after="30"/>
      </w:pPr>
    </w:p>
    <w:p>
      <w:pPr>
        <w:pBdr>
          <w:bottom w:val="single" w:color="D5E0EA" w:sz="6"/>
        </w:pBdr>
        <w:spacing w:after="70" w:before="160"/>
      </w:pPr>
      <w:r>
        <w:rPr>
          <w:rFonts w:ascii="Calibri" w:cs="Calibri" w:eastAsia="Calibri" w:hAnsi="Calibri"/>
          <w:b/>
          <w:bCs/>
          <w:color w:val="0F2B46"/>
          <w:sz w:val="22"/>
          <w:szCs w:val="22"/>
        </w:rPr>
        <w:t xml:space="preserve">DEPLOYED CHAIN(S)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Monad Testnet - chain ID 10143, RPC https://testnet-rpc.monad.xyz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Escrow: 0x6391427d323a43427c42df61369862f83f1f68ca (registered as its own CVI compliance pool; registration tx 0xfd2497c511e0c274fc40bcdb88b12ed790a1ca0eb8bc98a6ca492f311ae99c93).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Cleanverse CVI validator: 0xaC7e5179C2C7f03f209136886c172eb34F161792 (verified on Monad Testnet only).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CVA asset (aUSDC): 0xaC0893567D43C3E7e6e35a72803df05416C1f20D - origin USDC 0x534b2f3A21130d7a60830c2Df862319e593943A3.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Demo A-Passes: importer record 1867, exporter record 1869 (tier 50; verify_apass code 4).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Parties: importer 0x4aa29d0188d81A39cBd2BF11C1791aF3fF294E3A, exporter 0xaABb93dA3999765dD48a40d70054190AE3361506, admin 0x13cd068321C624d63C4A1d0eA2eBd806c22B9FA7.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3B4550"/>
          <w:sz w:val="16"/>
          <w:szCs w:val="16"/>
        </w:rPr>
        <w:t xml:space="preserve">Monad Testnet · chain ID 10143 · RPC https://testnet-rpc.monad.xyz</w:t>
      </w:r>
    </w:p>
    <w:p>
      <w:pPr>
        <w:spacing w:before="30"/>
        <w:jc w:val="center"/>
      </w:pPr>
      <w:r>
        <w:rPr>
          <w:rFonts w:ascii="Calibri" w:cs="Calibri" w:eastAsia="Calibri" w:hAnsi="Calibri"/>
          <w:color w:val="3B4550"/>
          <w:sz w:val="16"/>
          <w:szCs w:val="16"/>
        </w:rPr>
        <w:t xml:space="preserve">Demo system - synthetic fixtures, no real funds. Reproducible from clean deps with local mocks by default.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2026-08-09T22:44:03.542Z</dcterms:created>
  <dcterms:modified xsi:type="dcterms:W3CDTF">2026-08-09T22:44:03.542Z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