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E9" w:rsidRDefault="00B241E9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t>НЕКОТОРЫЕ АСПЕКТЫ СЕРТИФИКАЦИИ ПРОГРАММНЫХ СРЕДСТВ ОБЪЕКТОВ ИНФОРМАТИЗАЦИИ ПО ТРЕБОВАНИЯМ ИНФОРМАЦИОННОЙ БЕЗОПАСНОСТИ</w:t>
      </w:r>
      <w:bookmarkStart w:id="0" w:name="_GoBack"/>
      <w:bookmarkEnd w:id="0"/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информационной безопасностью объектов информатизации в общем случае понимается такое их состояние, при котором исключается нанесение неприемлемого ущерба субъектам информационных отношений при применении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последними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 информатизации. Следовательно, для оценки информационной безопасности объектов информатизации важно оценить сначала степень информационной безопасности средств информатизации, применяемых на объектах информатизации, в том числе всех их компонентов.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 из важнейших составляющих любого объекта информатизации являются применяемые программные средства различного назначения, которые существенно влияют на информационную безопасность объекта информатизации в целом.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настоящее время достаточно полно регламентирована законодательными актами и распорядительными документами организация работ по сертификации средств защиты информации. Разработаны и представлены в виде нормативных документов (Государственных стандартов и Руководящих документов 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Гостехкомиссии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России) требования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защиты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информации автоматизированных систем и их компонентов (вычислительных и программных средств). Отработаны методы их проверки и создано достаточно большое количество программных сре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дл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проведения испытаний. Однако в основной их части требования касаются средств и методов защиты информации от несанкционированного доступа, а также проверок на отсутствие закладных деструктивных элементов в таких программных средствах.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 же время информационная безопасность средств информатизации определяется не только их защищенностью от несанкционированного доступа. Одной из важнейших составляющих является выполнение средством информатизации заданных функций в различных условиях функционирования, в том числе при воздействии внешних деструктивных факторов.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Действительно, стержневой характеристикой качества любого средства информатизации является его функциональная пригодность. Ибо, если средство информатизации не решает в заданном объеме и с заданным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качеством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установленных для него задач, то нет смысла обеспечивать защиту от несанкционированного доступа и нецелесообразно его применять по назначению, так как только по этой причине результаты его использования могут привести к непредсказуемым последствиям и нанести пользователю неприемлемый ущерб.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Системы сертификации «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Росинфосерт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разрабатывается подход к сертификации средств информатизации по требованиям информационной безопасности, сущность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которого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основана на действующей нормативно-методической базе Системы сертификации «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Росинфосерт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Эта нормативно-методическая база дорабатывается с учетом требований Федерального закона «О техническом регулировании», в том числе в части вычислительных и программных средств, а также компьютерных систем в целом.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ФЗ «О техническом регулировании» определены типы технических регламентов, в которых должны быть сформулированы требования по обеспечению биологической, механической, пожарной, промышленной, химической и др. видов безопасности применительно к продукции, работам и услугам. К сожалению, не попали в этот список требования по обеспечению информационной безопасности. Очевидно, Законодатель считает ее составной частью всех остальных видов безопасности.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закону, безопасность продукции определяется ее характеристиками, безопасность работ и предоставляемых услуг определяется применением безопасной продукции и безопасностью методов использования этой продукции при работах и </w:t>
      </w: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предоставлении услуг. Фактически безопасность продукции является одной из составляющих ее качества.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информационная безопасность средств информатизации должна оцениваться в рамках общей оценки их качества, как один из показателей качества продукции.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рассмотрении вопросов информационной безопасности исследуется и оценивается безопасность информационных ресурсов (данных, программ и их совокупности), которые, в свою очередь нельзя рассматривать в отрыве от вычислительных средств, на которых они размещены и реализованы. То есть предметом рассмотрения должны быть вычислительные средства с реализуемыми на них информационными ресурсами.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требования информационной безопасности следует применять к многоуровневому программно-вычислительному комплексу как единому целому (рисунок 1):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характеристики качества (в том числе и в информационную безопасность) такого комплекса компоненты каждого уровня вносят свою составляющую. Например, недостаточная надежность технических компонентов вычислительных средств может компенсироваться программно-алгоритмическими решениями. В конечном счете, следует рассматривать в качестве основного показателя качества комплекса безопасность его функционирования.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100 % безопасности функционирования любого комплекса определенной структуры быть не может, то можно говорить о безопасности комплекса лишь в вероятностном смысле. Это в полной мере относится к компонентам любого уровня.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общем случае для прикладных программных средств безопасное функционирование означает: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полное и точное выполнение всех заданных функций;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обеспечение целостности и сохранности;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обеспечение защиты от неправильных действий пользователя, от некорректных входных данных, от случайных сбоев вычислительных средств;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простой и удобный интерфейс.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составляющие обеспечивают как аппаратные средства, так и операционная среда, Однако, центральным моментом оценки качества прикладных программных средств должна являться оценка их собственных функциональных характеристик, но, прежде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чем провести оценку качества прикладных программных средств, следует убедиться в том, что характеристики остальных составляющих комплекса соответствуют предъявляемым к ним требованиям, в том числе требованиям информационной безопасности.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D3BFB" w:rsidRPr="009D3BFB" w:rsidRDefault="009D3BFB" w:rsidP="009D3BF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105400" cy="3562350"/>
            <wp:effectExtent l="0" t="0" r="0" b="0"/>
            <wp:docPr id="4" name="Рисунок 4" descr="C:\Users\Sain\Desktop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n\Desktop\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Рис.1. Многоуровневый программно-вычислительный комплекс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свете всего сказанного предлагается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этапность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оценки: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1-й этап – осуществляется оценка выполнения требований к качеству комплекса на первом уровне. Здесь исследуются и оцениваются характеристики преимущественно технических средств с использованием широкой номенклатуры специальных или специализированных тестов.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2-й этап – осуществляется оценка уже 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аппаратного комплекса, включающего средства 1-го и 2-го уровней (технические средства и системные программные средства). При исследованиях и оценках используются имитаторы (в том числе программные) сигналов внешних устройств и функционирования программ общего назначения.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3-й этап – осуществляется оценка </w:t>
      </w:r>
      <w:proofErr w:type="spell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</w:t>
      </w:r>
      <w:proofErr w:type="spell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аппаратного комплекса, включающего средства 1-го, 2-го и 3-го уровней (технические средства, системные программные средства и программные средства общего назначения). При оценках также используются независимые имитаторы сигналов внешних устройств, функционирования программ общего назначения и прикладных программ.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наконец, на 4-м этапе осуществляется оценка характеристик качества всего программно-вычислительного комплекса в целом. При этом используются результаты всех предыдущих этапов, что повышает достоверность и доверие к полученным оценкам.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Обязательные требования к продукции (работам и услугам) по действующему законодательству Российской Федерации устанавливаются Техническими регламентами, принимаемыми в качестве Федеральных законов. Сегодня необходимость технического регламента, устанавливающего обязательные требования по информационной безопасности к программно-вычислительным комплексам очевидна. При этом основным инструментом контроля соблюдения таких требований является сертификация (подтверждение соответствия). Место Системы сертификации в рамках проведения единой технической политики России в области решения задач информатизации поясняется рисунком 2.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48350" cy="6019800"/>
            <wp:effectExtent l="0" t="0" r="0" b="0"/>
            <wp:docPr id="5" name="Рисунок 5" descr="C:\Users\Sain\Desktop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in\Desktop\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Рис.2. Система сертификации при проведении единой технической политики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в реестре Системы сертифицированной продукции и выдача сертификата соответствия заявителю.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 результатов сертификации продукции можно проиллюстрировать примером проведения тендера на поставку средств информатизации для государственных нужд. Схема проведения такого тендера представлена на рисунке 3.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D3BFB" w:rsidRPr="009D3BFB" w:rsidRDefault="009D3BFB" w:rsidP="009D3BF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514975" cy="5915025"/>
            <wp:effectExtent l="0" t="0" r="9525" b="9525"/>
            <wp:docPr id="6" name="Рисунок 6" descr="C:\Users\Sain\Desktop\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in\Desktop\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3. Схема проведения тендера на поставку средств информатизации</w:t>
      </w:r>
    </w:p>
    <w:p w:rsidR="009D3BFB" w:rsidRPr="009D3BFB" w:rsidRDefault="009D3BFB" w:rsidP="009D3B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государственных нужд</w:t>
      </w:r>
    </w:p>
    <w:p w:rsidR="009D3BFB" w:rsidRPr="009D3BFB" w:rsidRDefault="009D3BFB" w:rsidP="009D3B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Отбор участников тендера целесообразно проводить на основе анализа результатов их деятельности, одним из объективных показателей которой является сертификат </w:t>
      </w:r>
      <w:proofErr w:type="gramStart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соответствия системы менеджмента качества организации</w:t>
      </w:r>
      <w:proofErr w:type="gramEnd"/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требованиям международных стандартов ИСО 9001 – 2001, а также наличие в номенклатуре выпускаемой продукции сертифицированных продуктов, характеристики которых представлены в Реестре Системы. Такой подход ставит барьер недобросовестным поставщикам и некачественной продукции на рынок средств информатизации России.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нормативно-правовое обеспечение применения сертификации для реализации обязательных требований информационной безопасности составляют следующие документы: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Соглашение о взаимодействии в области сертификации средств информатизации между Минсвязи России и субъектом равного уровня. Такое соглашение является необязательным, но желательным документом, который регламентирует </w:t>
      </w: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взаимоотношения руководства Системы сертификации, ее органов и испытательных лабораторий с потенциальными поставщиками и потребителями средств информатизации, впрямую не подчиняющимися Минсвязи России.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Распоряжение (постановление, приказ) субъекта об утверждении Положения о порядке использования средств информатизации для решения своих задач.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Положение о порядке использования субъектом средств информатизации, устанавливающее систему показателей и правил отбора и применения поставляемых для государственных нужд средств информатизации.</w:t>
      </w:r>
    </w:p>
    <w:p w:rsidR="009D3BFB" w:rsidRPr="009D3BFB" w:rsidRDefault="009D3BFB" w:rsidP="009D3BFB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D3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Нормативный документ для сертификации, содержащий состав характеристик средства информатизации, их допустимые значения и способы оценки. Этот документ носит статус стандарта организации, утверждается Минсвязи России по согласованию с субъектом.</w:t>
      </w:r>
    </w:p>
    <w:p w:rsidR="007A144D" w:rsidRDefault="0048590A"/>
    <w:sectPr w:rsidR="007A1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72"/>
    <w:rsid w:val="00305BAB"/>
    <w:rsid w:val="0048590A"/>
    <w:rsid w:val="009C0001"/>
    <w:rsid w:val="009D3BFB"/>
    <w:rsid w:val="009D4F72"/>
    <w:rsid w:val="00B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D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9D3B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D3BF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D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D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9D3B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D3BF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D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3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</dc:creator>
  <cp:keywords/>
  <dc:description/>
  <cp:lastModifiedBy>Sain</cp:lastModifiedBy>
  <cp:revision>4</cp:revision>
  <dcterms:created xsi:type="dcterms:W3CDTF">2013-11-29T15:37:00Z</dcterms:created>
  <dcterms:modified xsi:type="dcterms:W3CDTF">2013-11-29T15:58:00Z</dcterms:modified>
</cp:coreProperties>
</file>