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Plan: Central Sulawesi Fire Evidence</w:t>
      </w:r>
    </w:p>
    <w:p>
      <w:pPr>
        <w:pStyle w:val="Subtitle"/>
      </w:pPr>
      <w:r>
        <w:t>Simple product requirements | Baseline v2.2, explained in plain English | Working plan, not fire findings</w:t>
      </w:r>
    </w:p>
    <w:p>
      <w:pPr>
        <w:pStyle w:val="Heading1"/>
      </w:pPr>
      <w:r>
        <w:t>1. The job in one sentence</w:t>
      </w:r>
    </w:p>
    <w:p>
      <w:r>
        <w:t>Help people see reliable evidence of forest and land fires in Central Sulawesi, while showing how better choices can be made when satellite data is uncertain.</w:t>
      </w:r>
    </w:p>
    <w:p>
      <w:r>
        <w:t>We build two connected outputs. R1 is a short evidence report and a simple public website for the NGO. R2 is a small, repeatable study about which cases to check next when time and money are limited. Do not build R2 at the expense of R1.</w:t>
      </w:r>
    </w:p>
    <w:p>
      <w:pPr>
        <w:pStyle w:val="Heading1"/>
      </w:pPr>
      <w:r>
        <w:t>2. What success looks like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Output</w:t>
            </w:r>
          </w:p>
        </w:tc>
        <w:tc>
          <w:tcPr>
            <w:tcW w:type="dxa" w:w="4896"/>
          </w:tcPr>
          <w:p>
            <w:r>
              <w:t>Done when</w:t>
            </w:r>
          </w:p>
        </w:tc>
      </w:tr>
      <w:tr>
        <w:tc>
          <w:tcPr>
            <w:tcW w:type="dxa" w:w="4896"/>
          </w:tcPr>
          <w:p>
            <w:r>
              <w:t>Public evidence (R1)</w:t>
            </w:r>
          </w:p>
        </w:tc>
        <w:tc>
          <w:tcPr>
            <w:tcW w:type="dxa" w:w="4896"/>
          </w:tcPr>
          <w:p>
            <w:r>
              <w:t>A reader can compare Central Sulawesi fairly with other provinces; see suspected industrial heat separately; review source dates and 3–5 case examples if imagery allows.</w:t>
            </w:r>
          </w:p>
        </w:tc>
      </w:tr>
      <w:tr>
        <w:tc>
          <w:tcPr>
            <w:tcW w:type="dxa" w:w="4896"/>
          </w:tcPr>
          <w:p>
            <w:r>
              <w:t>Decision study (R2)</w:t>
            </w:r>
          </w:p>
        </w:tc>
        <w:tc>
          <w:tcPr>
            <w:tcW w:type="dxa" w:w="4896"/>
          </w:tcPr>
          <w:p>
            <w:r>
              <w:t>A skeptical ML reader can reproduce the data checks, see how often the model is wrong, and compare two fair ways to spend the same checking budget.</w:t>
            </w:r>
          </w:p>
        </w:tc>
      </w:tr>
      <w:tr>
        <w:tc>
          <w:tcPr>
            <w:tcW w:type="dxa" w:w="4896"/>
          </w:tcPr>
          <w:p>
            <w:r>
              <w:t>Public trust</w:t>
            </w:r>
          </w:p>
        </w:tc>
        <w:tc>
          <w:tcPr>
            <w:tcW w:type="dxa" w:w="4896"/>
          </w:tcPr>
          <w:p>
            <w:r>
              <w:t>No satellite hotspot is called a confirmed forest fire without supporting evidence. Missing data is never displayed as zero.</w:t>
            </w:r>
          </w:p>
        </w:tc>
      </w:tr>
      <w:tr>
        <w:tc>
          <w:tcPr>
            <w:tcW w:type="dxa" w:w="4896"/>
          </w:tcPr>
          <w:p>
            <w:r>
              <w:t>Recognition</w:t>
            </w:r>
          </w:p>
        </w:tc>
        <w:tc>
          <w:tcPr>
            <w:tcW w:type="dxa" w:w="4896"/>
          </w:tcPr>
          <w:p>
            <w:r>
              <w:t>A six-page methods report, three figures, a five-minute demo, honest limitations, and documented feedback from intended readers.</w:t>
            </w:r>
          </w:p>
        </w:tc>
      </w:tr>
    </w:tbl>
    <w:p>
      <w:pPr>
        <w:pStyle w:val="Heading1"/>
      </w:pPr>
      <w:r>
        <w:t>3. People and responsibilities</w:t>
      </w:r>
    </w:p>
    <w:p>
      <w:pPr>
        <w:pStyle w:val="ListBullet"/>
      </w:pPr>
      <w:r>
        <w:t>Technical lead: owns code, data checks, study design, safety, and fixes.</w:t>
      </w:r>
    </w:p>
    <w:p>
      <w:pPr>
        <w:pStyle w:val="ListBullet"/>
      </w:pPr>
      <w:r>
        <w:t>NGO reviewer: checks local meaning, public wording, and any field reports.</w:t>
      </w:r>
    </w:p>
    <w:p>
      <w:pPr>
        <w:pStyle w:val="ListBullet"/>
      </w:pPr>
      <w:r>
        <w:t>Outreach lead: sends the brief to agreed stakeholders and tracks replies privately.</w:t>
      </w:r>
    </w:p>
    <w:p>
      <w:pPr>
        <w:pStyle w:val="ListBullet"/>
      </w:pPr>
      <w:r>
        <w:t>Optional outside reviewer: gives focused technical feedback; no endorsement is implied.</w:t>
      </w:r>
    </w:p>
    <w:p>
      <w:r>
        <w:t>Before development, agree in writing on ownership, re-use of code, credit, publication rights, permission to share field data, who approves the public brief, and how a mistake will be corrected.</w:t>
      </w:r>
    </w:p>
    <w:p>
      <w:pPr>
        <w:pStyle w:val="Heading1"/>
      </w:pPr>
      <w:r>
        <w:t>4. First checkpoint: G0 — should we build this?</w:t>
      </w:r>
    </w:p>
    <w:p>
      <w:r>
        <w:t>G0 is research and data checking, not a dashboard launch. Plan about 30–55 volunteer hours. It has five required checks: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Check</w:t>
            </w:r>
          </w:p>
        </w:tc>
        <w:tc>
          <w:tcPr>
            <w:tcW w:type="dxa" w:w="3264"/>
          </w:tcPr>
          <w:p>
            <w:r>
              <w:t>Question</w:t>
            </w:r>
          </w:p>
        </w:tc>
        <w:tc>
          <w:tcPr>
            <w:tcW w:type="dxa" w:w="3264"/>
          </w:tcPr>
          <w:p>
            <w:r>
              <w:t>What to show</w:t>
            </w:r>
          </w:p>
        </w:tc>
      </w:tr>
      <w:tr>
        <w:tc>
          <w:tcPr>
            <w:tcW w:type="dxa" w:w="3264"/>
          </w:tcPr>
          <w:p>
            <w:r>
              <w:t>G0-01</w:t>
            </w:r>
          </w:p>
        </w:tc>
        <w:tc>
          <w:tcPr>
            <w:tcW w:type="dxa" w:w="3264"/>
          </w:tcPr>
          <w:p>
            <w:r>
              <w:t>Can we fairly compare provinces?</w:t>
            </w:r>
          </w:p>
        </w:tc>
        <w:tc>
          <w:tcPr>
            <w:tcW w:type="dxa" w:w="3264"/>
          </w:tcPr>
          <w:p>
            <w:r>
              <w:t>Same satellite product and years for all 11 provinces; clear land-area or forest-area denominator; no cherry-picked dates.</w:t>
            </w:r>
          </w:p>
        </w:tc>
      </w:tr>
      <w:tr>
        <w:tc>
          <w:tcPr>
            <w:tcW w:type="dxa" w:w="3264"/>
          </w:tcPr>
          <w:p>
            <w:r>
              <w:t>G0-02</w:t>
            </w:r>
          </w:p>
        </w:tc>
        <w:tc>
          <w:tcPr>
            <w:tcW w:type="dxa" w:w="3264"/>
          </w:tcPr>
          <w:p>
            <w:r>
              <w:t>Are factories creating false fire signals?</w:t>
            </w:r>
          </w:p>
        </w:tc>
        <w:tc>
          <w:tcPr>
            <w:tcW w:type="dxa" w:w="3264"/>
          </w:tcPr>
          <w:p>
            <w:r>
              <w:t>A separate count of recurring heat sources; focused review near Morowali and Banggai; unclear cases remain flagged.</w:t>
            </w:r>
          </w:p>
        </w:tc>
      </w:tr>
      <w:tr>
        <w:tc>
          <w:tcPr>
            <w:tcW w:type="dxa" w:w="3264"/>
          </w:tcPr>
          <w:p>
            <w:r>
              <w:t>G0-03</w:t>
            </w:r>
          </w:p>
        </w:tc>
        <w:tc>
          <w:tcPr>
            <w:tcW w:type="dxa" w:w="3264"/>
          </w:tcPr>
          <w:p>
            <w:r>
              <w:t>Can burn maps support the study?</w:t>
            </w:r>
          </w:p>
        </w:tc>
        <w:tc>
          <w:tcPr>
            <w:tcW w:type="dxa" w:w="3264"/>
          </w:tcPr>
          <w:p>
            <w:r>
              <w:t>Number of grouped candidate events, share with burned-area evidence, plus a 30-case image-check pilot.</w:t>
            </w:r>
          </w:p>
        </w:tc>
      </w:tr>
      <w:tr>
        <w:tc>
          <w:tcPr>
            <w:tcW w:type="dxa" w:w="3264"/>
          </w:tcPr>
          <w:p>
            <w:r>
              <w:t>G0-04</w:t>
            </w:r>
          </w:p>
        </w:tc>
        <w:tc>
          <w:tcPr>
            <w:tcW w:type="dxa" w:w="3264"/>
          </w:tcPr>
          <w:p>
            <w:r>
              <w:t>Is the longer satellite record usable?</w:t>
            </w:r>
          </w:p>
        </w:tc>
        <w:tc>
          <w:tcPr>
            <w:tcW w:type="dxa" w:w="3264"/>
          </w:tcPr>
          <w:p>
            <w:r>
              <w:t>Check each year of 2013–2025 for gaps, field changes and missing months; use a shorter period if necessary.</w:t>
            </w:r>
          </w:p>
        </w:tc>
      </w:tr>
      <w:tr>
        <w:tc>
          <w:tcPr>
            <w:tcW w:type="dxa" w:w="3264"/>
          </w:tcPr>
          <w:p>
            <w:r>
              <w:t>G0-05</w:t>
            </w:r>
          </w:p>
        </w:tc>
        <w:tc>
          <w:tcPr>
            <w:tcW w:type="dxa" w:w="3264"/>
          </w:tcPr>
          <w:p>
            <w:r>
              <w:t>Could the study find a meaningful difference?</w:t>
            </w:r>
          </w:p>
        </w:tc>
        <w:tc>
          <w:tcPr>
            <w:tcW w:type="dxa" w:w="3264"/>
          </w:tcPr>
          <w:p>
            <w:r>
              <w:t>Check realistic costs, weather/clear-sky chances, how reliable a check is, and whether the test has enough independent cases.</w:t>
            </w:r>
          </w:p>
        </w:tc>
      </w:tr>
    </w:tbl>
    <w:p>
      <w:r>
        <w:t>The separate one-page G0 amendment fixes the rules before seeing final test results. The decision memo records whether to GO, PIVOT (change direction), or STOP.</w:t>
      </w:r>
    </w:p>
    <w:p>
      <w:pPr>
        <w:pStyle w:val="Heading1"/>
      </w:pPr>
      <w:r>
        <w:t>5. Data we need — and why</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Data</w:t>
            </w:r>
          </w:p>
        </w:tc>
        <w:tc>
          <w:tcPr>
            <w:tcW w:type="dxa" w:w="4896"/>
          </w:tcPr>
          <w:p>
            <w:r>
              <w:t>Use</w:t>
            </w:r>
          </w:p>
        </w:tc>
      </w:tr>
      <w:tr>
        <w:tc>
          <w:tcPr>
            <w:tcW w:type="dxa" w:w="4896"/>
          </w:tcPr>
          <w:p>
            <w:r>
              <w:t>NASA FIRMS historical VIIRS observations</w:t>
            </w:r>
          </w:p>
        </w:tc>
        <w:tc>
          <w:tcPr>
            <w:tcW w:type="dxa" w:w="4896"/>
          </w:tcPr>
          <w:p>
            <w:r>
              <w:t>Compare places and years, track possible fire detections, and look for repeated fixed heat sources.</w:t>
            </w:r>
          </w:p>
        </w:tc>
      </w:tr>
      <w:tr>
        <w:tc>
          <w:tcPr>
            <w:tcW w:type="dxa" w:w="4896"/>
          </w:tcPr>
          <w:p>
            <w:r>
              <w:t>NASA FIRMS recent observations</w:t>
            </w:r>
          </w:p>
        </w:tc>
        <w:tc>
          <w:tcPr>
            <w:tcW w:type="dxa" w:w="4896"/>
          </w:tcPr>
          <w:p>
            <w:r>
              <w:t>Add a clearly dated freshness layer to the public website. Recent detections do not automatically have historical quality flags.</w:t>
            </w:r>
          </w:p>
        </w:tc>
      </w:tr>
      <w:tr>
        <w:tc>
          <w:tcPr>
            <w:tcW w:type="dxa" w:w="4896"/>
          </w:tcPr>
          <w:p>
            <w:r>
              <w:t>Province and district boundaries</w:t>
            </w:r>
          </w:p>
        </w:tc>
        <w:tc>
          <w:tcPr>
            <w:tcW w:type="dxa" w:w="4896"/>
          </w:tcPr>
          <w:p>
            <w:r>
              <w:t>Count detections inside the correct provinces and districts.</w:t>
            </w:r>
          </w:p>
        </w:tc>
      </w:tr>
      <w:tr>
        <w:tc>
          <w:tcPr>
            <w:tcW w:type="dxa" w:w="4896"/>
          </w:tcPr>
          <w:p>
            <w:r>
              <w:t>MCD64A1 C6.1 monthly burned-area maps</w:t>
            </w:r>
          </w:p>
        </w:tc>
        <w:tc>
          <w:tcPr>
            <w:tcW w:type="dxa" w:w="4896"/>
          </w:tcPr>
          <w:p>
            <w:r>
              <w:t>Supply rough burned-area evidence for research, NOT confirmed truth; misses small or difficult cases.</w:t>
            </w:r>
          </w:p>
        </w:tc>
      </w:tr>
      <w:tr>
        <w:tc>
          <w:tcPr>
            <w:tcW w:type="dxa" w:w="4896"/>
          </w:tcPr>
          <w:p>
            <w:r>
              <w:t>Sentinel-2 or Landsat imagery</w:t>
            </w:r>
          </w:p>
        </w:tc>
        <w:tc>
          <w:tcPr>
            <w:tcW w:type="dxa" w:w="4896"/>
          </w:tcPr>
          <w:p>
            <w:r>
              <w:t>Check selected before/after burn marks, land use and whether satellite proxy labels are believable.</w:t>
            </w:r>
          </w:p>
        </w:tc>
      </w:tr>
      <w:tr>
        <w:tc>
          <w:tcPr>
            <w:tcW w:type="dxa" w:w="4896"/>
          </w:tcPr>
          <w:p>
            <w:r>
              <w:t>Local NGO evidence, if agreed</w:t>
            </w:r>
          </w:p>
        </w:tc>
        <w:tc>
          <w:tcPr>
            <w:tcW w:type="dxa" w:w="4896"/>
          </w:tcPr>
          <w:p>
            <w:r>
              <w:t>Add local context and carefully reviewed cases; sensitive information stays out of public GitHub.</w:t>
            </w:r>
          </w:p>
        </w:tc>
      </w:tr>
    </w:tbl>
    <w:p>
      <w:r>
        <w:t>Use the same years and source when comparing provinces. The fixed province list is all five Kalimantan provinces and all six Sulawesi provinces. Start with complete years 2023–2025 for public comparison; use up to 2013–2025 for the research study only if the archive passes G0.</w:t>
      </w:r>
    </w:p>
    <w:p>
      <w:pPr>
        <w:pStyle w:val="Heading1"/>
      </w:pPr>
      <w:r>
        <w:t>6. Exactly what to ship in R1 (must-have)</w:t>
      </w:r>
    </w:p>
    <w:p>
      <w:pPr>
        <w:pStyle w:val="ListBullet"/>
      </w:pPr>
      <w:r>
        <w:t>A 1–2 page Indonesian-language evidence brief with a fair 11-province comparison, dates, sources, and limits. Publish the brief before polishing the website.</w:t>
      </w:r>
    </w:p>
    <w:p>
      <w:pPr>
        <w:pStyle w:val="ListBullet"/>
      </w:pPr>
      <w:r>
        <w:t>A small mobile-friendly website with a map, a trend chart, the comparison, and a download link to the brief.</w:t>
      </w:r>
    </w:p>
    <w:p>
      <w:pPr>
        <w:pStyle w:val="ListBullet"/>
      </w:pPr>
      <w:r>
        <w:t>Two counts shown separately: all detected heat points and points flagged as possible repeated industrial heat. Never quietly remove flagged observations.</w:t>
      </w:r>
    </w:p>
    <w:p>
      <w:pPr>
        <w:pStyle w:val="ListBullet"/>
      </w:pPr>
      <w:r>
        <w:t>Three to five carefully checked case stories where imagery is usable. Identify whether evidence says forest, other vegetation/land, unclear, or not supported.</w:t>
      </w:r>
    </w:p>
    <w:p>
      <w:pPr>
        <w:pStyle w:val="ListBullet"/>
      </w:pPr>
      <w:r>
        <w:t>A clear update date. If a download fails, keep the last good result and show that data may be old.</w:t>
      </w:r>
    </w:p>
    <w:p>
      <w:pPr>
        <w:pStyle w:val="ListBullet"/>
      </w:pPr>
      <w:r>
        <w:t>A stakeholder list kept privately, with dates of outreach, replies and any corrections.</w:t>
      </w:r>
    </w:p>
    <w:p>
      <w:r>
        <w:t>Do not claim Central Sulawesi is more neglected than Kalimantan from fire counts alone. To claim it gets less attention, separately measure news coverage, funding, or response. If the comparison does not support a dramatic claim, say plainly that fire activity exists and warrants checking.</w:t>
      </w:r>
    </w:p>
    <w:p>
      <w:pPr>
        <w:pStyle w:val="Heading1"/>
      </w:pPr>
      <w:r>
        <w:t>7. R2: the decision study (must-have if research proceeds)</w:t>
      </w:r>
    </w:p>
    <w:p>
      <w:r>
        <w:t>Study question: With limited checking resources, which possible fire cases should we check, wait on, or leave for later?</w:t>
      </w:r>
    </w:p>
    <w:p>
      <w:r>
        <w:t>One “candidate event” groups nearby detections; use the exact grouping rule in the G0 amendment. It is not the same as one hotspot or one confirmed fire.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Method</w:t>
            </w:r>
          </w:p>
        </w:tc>
        <w:tc>
          <w:tcPr>
            <w:tcW w:type="dxa" w:w="4896"/>
          </w:tcPr>
          <w:p>
            <w:r>
              <w:t>Plain meaning</w:t>
            </w:r>
          </w:p>
        </w:tc>
      </w:tr>
      <w:tr>
        <w:tc>
          <w:tcPr>
            <w:tcW w:type="dxa" w:w="4896"/>
          </w:tcPr>
          <w:p>
            <w:r>
              <w:t>B0</w:t>
            </w:r>
          </w:p>
        </w:tc>
        <w:tc>
          <w:tcPr>
            <w:tcW w:type="dxa" w:w="4896"/>
          </w:tcPr>
          <w:p>
            <w:r>
              <w:t>Check the highest predicted fire probabilities first. This is a weak reference, not the main competitor.</w:t>
            </w:r>
          </w:p>
        </w:tc>
      </w:tr>
      <w:tr>
        <w:tc>
          <w:tcPr>
            <w:tcW w:type="dxa" w:w="4896"/>
          </w:tcPr>
          <w:p>
            <w:r>
              <w:t>B1</w:t>
            </w:r>
          </w:p>
        </w:tc>
        <w:tc>
          <w:tcPr>
            <w:tcW w:type="dxa" w:w="4896"/>
          </w:tcPr>
          <w:p>
            <w:r>
              <w:t>Check cases with the most uncertain predictions first.</w:t>
            </w:r>
          </w:p>
        </w:tc>
      </w:tr>
      <w:tr>
        <w:tc>
          <w:tcPr>
            <w:tcW w:type="dxa" w:w="4896"/>
          </w:tcPr>
          <w:p>
            <w:r>
              <w:t>B1+ (main competitor)</w:t>
            </w:r>
          </w:p>
        </w:tc>
        <w:tc>
          <w:tcPr>
            <w:tcW w:type="dxa" w:w="4896"/>
          </w:tcPr>
          <w:p>
            <w:r>
              <w:t>Rank cases using uncertainty, the importance of getting it wrong, and the estimated cost of checking.</w:t>
            </w:r>
          </w:p>
        </w:tc>
      </w:tr>
      <w:tr>
        <w:tc>
          <w:tcPr>
            <w:tcW w:type="dxa" w:w="4896"/>
          </w:tcPr>
          <w:p>
            <w:r>
              <w:t>B2</w:t>
            </w:r>
          </w:p>
        </w:tc>
        <w:tc>
          <w:tcPr>
            <w:tcW w:type="dxa" w:w="4896"/>
          </w:tcPr>
          <w:p>
            <w:r>
              <w:t>A simple step-by-step rule that can wait for a new observation.</w:t>
            </w:r>
          </w:p>
        </w:tc>
      </w:tr>
      <w:tr>
        <w:tc>
          <w:tcPr>
            <w:tcW w:type="dxa" w:w="4896"/>
          </w:tcPr>
          <w:p>
            <w:r>
              <w:t>B3 (new method)</w:t>
            </w:r>
          </w:p>
        </w:tc>
        <w:tc>
          <w:tcPr>
            <w:tcW w:type="dxa" w:w="4896"/>
          </w:tcPr>
          <w:p>
            <w:r>
              <w:t>At each step, estimate whether checking now, waiting, or doing nothing will likely reduce total mistakes and costs.</w:t>
            </w:r>
          </w:p>
        </w:tc>
      </w:tr>
    </w:tbl>
    <w:p>
      <w:r>
        <w:t>Fair test: B1+ and B3 see the same available information—costs, stakes, forecast of a clear next satellite pass—and face the same real spending limit. Do not let B3 use future data.</w:t>
      </w:r>
    </w:p>
    <w:p>
      <w:r>
        <w:t>Main claim to test (S4 only): when the cost of checks varies, the harm from errors varies, and waiting is possible, B3 may beat B1+ at the same total checking cost. Expect a near tie in a simple world with equal costs, equal stakes, instant perfect checks, and no waiting.</w:t>
      </w:r>
    </w:p>
    <w:p>
      <w:r>
        <w:t>A requested check must NOT magically reveal the perfect answer. It may say positive, negative, or “cannot tell.” Estimate those errors and unclear rates from the image audit, and say when the sample is too small for a reliable estimate.</w:t>
      </w:r>
    </w:p>
    <w:p>
      <w:pPr>
        <w:pStyle w:val="Heading1"/>
      </w:pPr>
      <w:r>
        <w:t>8. Research rules that cannot be skipped</w:t>
      </w:r>
    </w:p>
    <w:p>
      <w:pPr>
        <w:pStyle w:val="ListBullet"/>
      </w:pPr>
      <w:r>
        <w:t>Before looking at final test results, commit to GitHub: the question, test years, grouping rule, main score (overall cost of mistakes and checks), practical improvement threshold, and confidence-interval method.</w:t>
      </w:r>
    </w:p>
    <w:p>
      <w:pPr>
        <w:pStyle w:val="ListBullet"/>
      </w:pPr>
      <w:r>
        <w:t>Keep whole years and geographical groups out of training so the model is tested on genuinely new conditions.</w:t>
      </w:r>
    </w:p>
    <w:p>
      <w:pPr>
        <w:pStyle w:val="ListBullet"/>
      </w:pPr>
      <w:r>
        <w:t>Show how often the model’s stated chances are right or wrong, not only its accuracy. Use a reliability chart and a Brier score.</w:t>
      </w:r>
    </w:p>
    <w:p>
      <w:pPr>
        <w:pStyle w:val="ListBullet"/>
      </w:pPr>
      <w:r>
        <w:t>Show a graph of total decision loss versus verification budget, plus one clear example of a step-by-step decision.</w:t>
      </w:r>
    </w:p>
    <w:p>
      <w:pPr>
        <w:pStyle w:val="ListBullet"/>
      </w:pPr>
      <w:r>
        <w:t>Test what happens if predicted probabilities, check costs, expected harm, and clear-sky chances are wrong.</w:t>
      </w:r>
    </w:p>
    <w:p>
      <w:pPr>
        <w:pStyle w:val="ListBullet"/>
      </w:pPr>
      <w:r>
        <w:t>Call results “tested against satellite burned-area evidence,” not “ground-truth verified,” until actual field verification supports that stronger claim.</w:t>
      </w:r>
    </w:p>
    <w:p>
      <w:pPr>
        <w:pStyle w:val="ListBullet"/>
      </w:pPr>
      <w:r>
        <w:t>If the data cannot support a fair study, publish an honest feasibility result; never invent model gains.</w:t>
      </w:r>
    </w:p>
    <w:p>
      <w:pPr>
        <w:pStyle w:val="Heading1"/>
      </w:pPr>
      <w:r>
        <w:t>9. Stop or change direction rules</w:t>
      </w:r>
    </w:p>
    <w:p>
      <w:pPr>
        <w:pStyle w:val="ListBullet"/>
      </w:pPr>
      <w:r>
        <w:t>If the province comparison cannot be made fairly, do not publish a misleading ranking. Pivot to a dated, local evidence brief.</w:t>
      </w:r>
    </w:p>
    <w:p>
      <w:pPr>
        <w:pStyle w:val="ListBullet"/>
      </w:pPr>
      <w:r>
        <w:t>If suspected industrial heat cannot be separated reliably, keep an “unclear/static-source suspect” category and do not call it a vegetation fire.</w:t>
      </w:r>
    </w:p>
    <w:p>
      <w:pPr>
        <w:pStyle w:val="ListBullet"/>
      </w:pPr>
      <w:r>
        <w:t>If the grouped 2023–2025 data contains fewer than 100 satellite burn-positive cases, or fewer than 20% of candidates match the rough burn map, narrow the question to larger visible burns or test a scripted higher-resolution burn map.</w:t>
      </w:r>
    </w:p>
    <w:p>
      <w:pPr>
        <w:pStyle w:val="ListBullet"/>
      </w:pPr>
      <w:r>
        <w:t>If fewer than 60% of the first 30 image checks can be interpreted, revisit the imagery window/sensor; if the issue persists, stop claims requiring those labels.</w:t>
      </w:r>
    </w:p>
    <w:p>
      <w:pPr>
        <w:pStyle w:val="ListBullet"/>
      </w:pPr>
      <w:r>
        <w:t>If the training data cannot detect an improvement as small as the chosen 10% useful margin, call the main comparison underpowered; show estimates without declaring victory.</w:t>
      </w:r>
    </w:p>
    <w:p>
      <w:pPr>
        <w:pStyle w:val="Heading1"/>
      </w:pPr>
      <w:r>
        <w:t>10. Software and free hosting</w:t>
      </w:r>
    </w:p>
    <w:p>
      <w:r>
        <w:t>Use one public GitHub organization and one repository. Run Python (pandas, GeoPandas and small data checks) on a local computer or free public-repo GitHub Actions. Store small outputs as JSON/GeoJSON. Publish simple HTML, CSS, Leaflet maps and charts with GitHub Pages. Do image processing locally when necessary. Do not add a paid database, backend, API, domain or hosted model.</w:t>
      </w:r>
    </w:p>
    <w:p>
      <w:r>
        <w:t>Proposed folders: /scripts (downloads and processing), /src/policies (decision methods), /data/public (safe-to-share outputs), /site (web pages), /reports (brief, plan, charts), /tests and /.github/workflows. Store API keys only as secrets; keep identifiable field reports private.</w:t>
      </w:r>
    </w:p>
    <w:p>
      <w:pPr>
        <w:pStyle w:val="Heading1"/>
      </w:pPr>
      <w:r>
        <w:t>11. Required checks before publishing</w:t>
      </w:r>
    </w:p>
    <w:p>
      <w:pPr>
        <w:pStyle w:val="ListBullet"/>
      </w:pPr>
      <w:r>
        <w:t>A zero-result satellite day shows “no detections reported in this window,” not a broken page. A failed download shows “update failed” and preserves the last good files.</w:t>
      </w:r>
    </w:p>
    <w:p>
      <w:pPr>
        <w:pStyle w:val="ListBullet"/>
      </w:pPr>
      <w:r>
        <w:t>Comparison charts use the same years, sensor and denominator in all 11 provinces. Changing these triggers a new label, not a hidden recalculation.</w:t>
      </w:r>
    </w:p>
    <w:p>
      <w:pPr>
        <w:pStyle w:val="ListBullet"/>
      </w:pPr>
      <w:r>
        <w:t>Industrial-suspect counts remain visible and separate.</w:t>
      </w:r>
    </w:p>
    <w:p>
      <w:pPr>
        <w:pStyle w:val="ListBullet"/>
      </w:pPr>
      <w:r>
        <w:t>Another developer can run the scripts and reproduce each public number from recorded inputs and code version.</w:t>
      </w:r>
    </w:p>
    <w:p>
      <w:pPr>
        <w:pStyle w:val="ListBullet"/>
      </w:pPr>
      <w:r>
        <w:t>Historical decisions cannot see later labels, later weather or later satellite passes.</w:t>
      </w:r>
    </w:p>
    <w:p>
      <w:pPr>
        <w:pStyle w:val="ListBullet"/>
      </w:pPr>
      <w:r>
        <w:t>B1+ and B3 get identical information and budgets.</w:t>
      </w:r>
    </w:p>
    <w:p>
      <w:pPr>
        <w:pStyle w:val="ListBullet"/>
      </w:pPr>
      <w:r>
        <w:t>A reviewer can check where an image label came from, whether it was readable, and when it was collected.</w:t>
      </w:r>
    </w:p>
    <w:p>
      <w:pPr>
        <w:pStyle w:val="ListBullet"/>
      </w:pPr>
      <w:r>
        <w:t>Public Indonesian wording and sources are reviewed by technical and NGO roles.</w:t>
      </w:r>
    </w:p>
    <w:p>
      <w:pPr>
        <w:pStyle w:val="Heading1"/>
      </w:pPr>
      <w:r>
        <w:t>12. Time budget and outputs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Phase</w:t>
            </w:r>
          </w:p>
        </w:tc>
        <w:tc>
          <w:tcPr>
            <w:tcW w:type="dxa" w:w="3264"/>
          </w:tcPr>
          <w:p>
            <w:r>
              <w:t>Work</w:t>
            </w:r>
          </w:p>
        </w:tc>
        <w:tc>
          <w:tcPr>
            <w:tcW w:type="dxa" w:w="3264"/>
          </w:tcPr>
          <w:p>
            <w:r>
              <w:t>Volunteer hours</w:t>
            </w:r>
          </w:p>
        </w:tc>
      </w:tr>
      <w:tr>
        <w:tc>
          <w:tcPr>
            <w:tcW w:type="dxa" w:w="3264"/>
          </w:tcPr>
          <w:p>
            <w:r>
              <w:t>P0</w:t>
            </w:r>
          </w:p>
        </w:tc>
        <w:tc>
          <w:tcPr>
            <w:tcW w:type="dxa" w:w="3264"/>
          </w:tcPr>
          <w:p>
            <w:r>
              <w:t>Agreement + G0 feasibility tests</w:t>
            </w:r>
          </w:p>
        </w:tc>
        <w:tc>
          <w:tcPr>
            <w:tcW w:type="dxa" w:w="3264"/>
          </w:tcPr>
          <w:p>
            <w:r>
              <w:t>30–55 (updated G0 allowance)</w:t>
            </w:r>
          </w:p>
        </w:tc>
      </w:tr>
      <w:tr>
        <w:tc>
          <w:tcPr>
            <w:tcW w:type="dxa" w:w="3264"/>
          </w:tcPr>
          <w:p>
            <w:r>
              <w:t>P1</w:t>
            </w:r>
          </w:p>
        </w:tc>
        <w:tc>
          <w:tcPr>
            <w:tcW w:type="dxa" w:w="3264"/>
          </w:tcPr>
          <w:p>
            <w:r>
              <w:t>Historical downloads, industrial flags, comparable data</w:t>
            </w:r>
          </w:p>
        </w:tc>
        <w:tc>
          <w:tcPr>
            <w:tcW w:type="dxa" w:w="3264"/>
          </w:tcPr>
          <w:p>
            <w:r>
              <w:t>14–22</w:t>
            </w:r>
          </w:p>
        </w:tc>
      </w:tr>
      <w:tr>
        <w:tc>
          <w:tcPr>
            <w:tcW w:type="dxa" w:w="3264"/>
          </w:tcPr>
          <w:p>
            <w:r>
              <w:t>P2</w:t>
            </w:r>
          </w:p>
        </w:tc>
        <w:tc>
          <w:tcPr>
            <w:tcW w:type="dxa" w:w="3264"/>
          </w:tcPr>
          <w:p>
            <w:r>
              <w:t>Brief, small public site, selected imagery cases</w:t>
            </w:r>
          </w:p>
        </w:tc>
        <w:tc>
          <w:tcPr>
            <w:tcW w:type="dxa" w:w="3264"/>
          </w:tcPr>
          <w:p>
            <w:r>
              <w:t>16–27</w:t>
            </w:r>
          </w:p>
        </w:tc>
      </w:tr>
      <w:tr>
        <w:tc>
          <w:tcPr>
            <w:tcW w:type="dxa" w:w="3264"/>
          </w:tcPr>
          <w:p>
            <w:r>
              <w:t>P3</w:t>
            </w:r>
          </w:p>
        </w:tc>
        <w:tc>
          <w:tcPr>
            <w:tcW w:type="dxa" w:w="3264"/>
          </w:tcPr>
          <w:p>
            <w:r>
              <w:t>Image audit, model and honest accuracy checks</w:t>
            </w:r>
          </w:p>
        </w:tc>
        <w:tc>
          <w:tcPr>
            <w:tcW w:type="dxa" w:w="3264"/>
          </w:tcPr>
          <w:p>
            <w:r>
              <w:t>18–32</w:t>
            </w:r>
          </w:p>
        </w:tc>
      </w:tr>
      <w:tr>
        <w:tc>
          <w:tcPr>
            <w:tcW w:type="dxa" w:w="3264"/>
          </w:tcPr>
          <w:p>
            <w:r>
              <w:t>P4</w:t>
            </w:r>
          </w:p>
        </w:tc>
        <w:tc>
          <w:tcPr>
            <w:tcW w:type="dxa" w:w="3264"/>
          </w:tcPr>
          <w:p>
            <w:r>
              <w:t>Fair decision-method comparison and stress tests</w:t>
            </w:r>
          </w:p>
        </w:tc>
        <w:tc>
          <w:tcPr>
            <w:tcW w:type="dxa" w:w="3264"/>
          </w:tcPr>
          <w:p>
            <w:r>
              <w:t>18–32</w:t>
            </w:r>
          </w:p>
        </w:tc>
      </w:tr>
      <w:tr>
        <w:tc>
          <w:tcPr>
            <w:tcW w:type="dxa" w:w="3264"/>
          </w:tcPr>
          <w:p>
            <w:r>
              <w:t>P5</w:t>
            </w:r>
          </w:p>
        </w:tc>
        <w:tc>
          <w:tcPr>
            <w:tcW w:type="dxa" w:w="3264"/>
          </w:tcPr>
          <w:p>
            <w:r>
              <w:t>Six-page write-up, 3 charts, 5-minute demo, outreach</w:t>
            </w:r>
          </w:p>
        </w:tc>
        <w:tc>
          <w:tcPr>
            <w:tcW w:type="dxa" w:w="3264"/>
          </w:tcPr>
          <w:p>
            <w:r>
              <w:t>20–35</w:t>
            </w:r>
          </w:p>
        </w:tc>
      </w:tr>
    </w:tbl>
    <w:p>
      <w:r>
        <w:t>The earlier 100–172 hour total in v2.2 used a smaller G0 allocation (14–24 hours). With G0 corrected to 30–55 hours, the phase budget is now approximately 116–203 hours. This is a planning correction, not a change to the frozen PRD or a commitment to volunteer that much time.</w:t>
      </w:r>
    </w:p>
    <w:p>
      <w:pPr>
        <w:pStyle w:val="Heading1"/>
      </w:pPr>
      <w:r>
        <w:t>13. Sharing and reputation plan</w:t>
      </w:r>
    </w:p>
    <w:p>
      <w:r>
        <w:t>Prepare one six-page technical report, three clear figures (model reliability, cost-versus-results, one decision trace), and a five-minute demo. Privately list 15–20 actual recipients: applied ML leaders in fraud, insurance, logistics, financial services, and trust and safety; relevant researchers; plus NGO and media stakeholders. Request feedback on one specific question, and ask one outside expert for up to one hour of review. Public research writing can appear as soon as it is ready; do not wait for a distant conference.</w:t>
      </w:r>
    </w:p>
    <w:p>
      <w:pPr>
        <w:pStyle w:val="Heading1"/>
      </w:pPr>
      <w:r>
        <w:t>14. Final decisions</w:t>
      </w:r>
    </w:p>
    <w:p>
      <w:r>
        <w:t>G0: GO means proceed to evidence checks only. R1: publish only after the matched comparison, industrial flags and brief are checked. R2: publish results only after audit, fair baseline, dated test plan and reproducible evaluation. PIVOT or STOP is a valid, honest result.</w:t>
      </w:r>
    </w:p>
    <w:p>
      <w:pPr>
        <w:pStyle w:val="Heading1"/>
      </w:pPr>
      <w:r>
        <w:t>15. Useful links</w:t>
      </w:r>
    </w:p>
    <w:p>
      <w:pPr>
        <w:pStyle w:val="ListBullet"/>
      </w:pPr>
      <w:r>
        <w:t>NASA FIRMS: https://firms.modaps.eosdis.nasa.gov/api/</w:t>
      </w:r>
    </w:p>
    <w:p>
      <w:pPr>
        <w:pStyle w:val="ListBullet"/>
      </w:pPr>
      <w:r>
        <w:t>MCD64A1 Collection 6.1: https://doi.org/10.5067/MODIS/MCD64A1.061</w:t>
      </w:r>
    </w:p>
    <w:p>
      <w:pPr>
        <w:pStyle w:val="ListBullet"/>
      </w:pPr>
      <w:r>
        <w:t>Burned-area method: https://doi.org/10.1016/j.rse.2018.08.005</w:t>
      </w:r>
    </w:p>
    <w:p>
      <w:pPr>
        <w:pStyle w:val="ListBullet"/>
      </w:pPr>
      <w:r>
        <w:t>GitHub Pages: https://docs.github.com/en/pages/getting-started-with-github-pages</w:t>
      </w:r>
    </w:p>
    <w:p>
      <w:pPr>
        <w:pStyle w:val="ListBullet"/>
      </w:pPr>
      <w:r>
        <w:t>Province boundaries: https://www.geoboundaries.org/</w:t>
      </w:r>
    </w:p>
    <w:sectPr w:rsidR="00FC693F" w:rsidRPr="0006063C" w:rsidSect="00034616">
      <w:footerReference w:type="default" r:id="rId9"/>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Plain-English version | No personal names | 18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647"/>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36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color w:val="18364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