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Vulnerability of tree growth to precipitation in Thailand</w:t>
      </w:r>
    </w:p>
    <w:p>
      <w:pPr>
        <w:pStyle w:val="BodyText"/>
      </w:pPr>
      <w:r>
        <w:rPr>
          <w:bCs/>
          <w:b/>
        </w:rPr>
        <w:t xml:space="preserve">Authors</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ongoing global change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ii) How does deciduousness influence the drought sensitivity of a species? iii) How much of the intraspecific variation is explained by tree height</w:t>
      </w:r>
      <w:r>
        <w:t xml:space="preserve"> </w:t>
      </w:r>
      <w:r>
        <w:rPr>
          <w:iCs/>
          <w:i/>
        </w:rPr>
        <w:t xml:space="preserve">per se</w:t>
      </w:r>
      <w:r>
        <w:t xml:space="preserve">, crown exposure and the habitat of the tree (proxy for water and nutrient availability). We hypothesise that growth during drought is affected by:</w:t>
      </w:r>
    </w:p>
    <w:p>
      <w:pPr>
        <w:numPr>
          <w:ilvl w:val="0"/>
          <w:numId w:val="1001"/>
        </w:numPr>
        <w:pStyle w:val="Compact"/>
      </w:pPr>
      <w:r>
        <w:rPr>
          <w:bCs/>
          <w:b/>
        </w:rPr>
        <w:t xml:space="preserve">habitat</w:t>
      </w:r>
      <w:r>
        <w:t xml:space="preserve"> </w:t>
      </w:r>
      <w:r>
        <w:t xml:space="preserve">: water availability is a key driver of tropical tree growth</w:t>
      </w:r>
      <w:r>
        <w:t xml:space="preserve"> </w:t>
      </w:r>
      <w:r>
        <w:t xml:space="preserve">(Wagner</w:t>
      </w:r>
      <w:r>
        <w:t xml:space="preserve"> </w:t>
      </w:r>
      <w:r>
        <w:rPr>
          <w:iCs/>
          <w:i/>
        </w:rPr>
        <w:t xml:space="preserve">et al.</w:t>
      </w:r>
      <w:r>
        <w:t xml:space="preserve">, 2012)</w:t>
      </w:r>
      <w:r>
        <w:t xml:space="preserve">.</w:t>
      </w:r>
    </w:p>
    <w:p>
      <w:pPr>
        <w:numPr>
          <w:ilvl w:val="0"/>
          <w:numId w:val="1001"/>
        </w:numPr>
        <w:pStyle w:val="Compact"/>
      </w:pPr>
      <w:r>
        <w:rPr>
          <w:bCs/>
          <w:b/>
        </w:rPr>
        <w:t xml:space="preserve">leaf habit</w:t>
      </w:r>
      <w:r>
        <w:t xml:space="preserve"> </w:t>
      </w:r>
      <w:r>
        <w:t xml:space="preserve">: drought resistance is higher in deciduous species because of leaf strategies that minimise water loss during months of high vulnerability. Deciduous and evergreen species have differential sensitivity to drought</w:t>
      </w:r>
      <w:r>
        <w:t xml:space="preserve"> </w:t>
      </w:r>
      <w:r>
        <w:t xml:space="preserve">(De Souza</w:t>
      </w:r>
      <w:r>
        <w:t xml:space="preserve"> </w:t>
      </w:r>
      <w:r>
        <w:rPr>
          <w:iCs/>
          <w:i/>
        </w:rPr>
        <w:t xml:space="preserve">et al.</w:t>
      </w:r>
      <w:r>
        <w:t xml:space="preserve">, 2020)</w:t>
      </w:r>
      <w:r>
        <w:t xml:space="preserve">.</w:t>
      </w:r>
      <w:r>
        <w:br/>
      </w:r>
    </w:p>
    <w:p>
      <w:pPr>
        <w:numPr>
          <w:ilvl w:val="0"/>
          <w:numId w:val="1001"/>
        </w:numPr>
        <w:pStyle w:val="Compact"/>
      </w:pPr>
      <w:r>
        <w:rPr>
          <w:bCs/>
          <w:b/>
        </w:rPr>
        <w:t xml:space="preserve">tree size</w:t>
      </w:r>
      <w:r>
        <w:t xml:space="preserve"> </w:t>
      </w:r>
      <w:r>
        <w:t xml:space="preserve">: larger trees face higher risk of mortality during drought, as well as greater growth reductions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p>
    <w:p>
      <w:pPr>
        <w:numPr>
          <w:ilvl w:val="0"/>
          <w:numId w:val="1001"/>
        </w:numPr>
        <w:pStyle w:val="Compact"/>
      </w:pPr>
      <w:r>
        <w:rPr>
          <w:bCs/>
          <w:b/>
        </w:rPr>
        <w:t xml:space="preserve">exposure</w:t>
      </w:r>
      <w:r>
        <w:t xml:space="preserve"> </w:t>
      </w:r>
      <w:r>
        <w:t xml:space="preserve">: trees with higher exposure because of their canopy position have lower drought resistance than trees with lower exposure due to the direct effects of temperature and vapour pressure deficit.</w:t>
      </w:r>
      <w:r>
        <w:br/>
      </w:r>
    </w:p>
    <w:p>
      <w:pPr>
        <w:numPr>
          <w:ilvl w:val="0"/>
          <w:numId w:val="1001"/>
        </w:numPr>
        <w:pStyle w:val="Compact"/>
      </w:pPr>
      <w:r>
        <w:rPr>
          <w:bCs/>
          <w:b/>
        </w:rPr>
        <w:t xml:space="preserve">competition</w:t>
      </w:r>
      <w:r>
        <w:t xml:space="preserve"> </w:t>
      </w:r>
      <w:r>
        <w:t xml:space="preserve">: trees in denser stands have lower drought resistance than trees in sparser stands because of more intense competition for groundwater. Differences in rooting depths could add complexities to this effect, however, we do not have direct measures that could test this effect.</w:t>
      </w:r>
      <w:r>
        <w:br/>
      </w:r>
    </w:p>
    <w:p>
      <w:pPr>
        <w:numPr>
          <w:ilvl w:val="0"/>
          <w:numId w:val="1001"/>
        </w:numPr>
        <w:pStyle w:val="Compact"/>
      </w:pPr>
      <w:r>
        <w:rPr>
          <w:bCs/>
          <w:b/>
        </w:rPr>
        <w:t xml:space="preserve">exposure x size</w:t>
      </w:r>
      <w:r>
        <w:t xml:space="preserve"> </w:t>
      </w:r>
      <w:r>
        <w:t xml:space="preserve">: While larger trees are likely to have uniform high exposure, smaller trees can have high or low canopy position based on stand characteristics (stand density, presence of a canopy gap etc.) Drought resistance of smaller trees with high exposure is expected to be lower than that of trees with low exposure because of the direct influence of temperature and light that could lead to cavitation. (BCI light x size interaction in</w:t>
      </w:r>
      <w:r>
        <w:t xml:space="preserve"> </w:t>
      </w:r>
      <w:r>
        <w:t xml:space="preserve">Rüger</w:t>
      </w:r>
      <w:r>
        <w:t xml:space="preserve"> </w:t>
      </w:r>
      <w:r>
        <w:rPr>
          <w:iCs/>
          <w:i/>
        </w:rPr>
        <w:t xml:space="preserve">et al.</w:t>
      </w:r>
      <w:r>
        <w:t xml:space="preserve"> </w:t>
      </w:r>
      <w:r>
        <w:t xml:space="preserve">(2011)</w:t>
      </w:r>
      <w:r>
        <w:t xml:space="preserve">)</w:t>
      </w:r>
      <w:r>
        <w:br/>
      </w:r>
    </w:p>
    <w:p>
      <w:pPr>
        <w:numPr>
          <w:ilvl w:val="0"/>
          <w:numId w:val="1001"/>
        </w:numPr>
        <w:pStyle w:val="Compact"/>
      </w:pPr>
      <w:r>
        <w:rPr>
          <w:bCs/>
          <w:b/>
        </w:rPr>
        <w:t xml:space="preserve">leaf habit x exposure</w:t>
      </w:r>
      <w:r>
        <w:t xml:space="preserve"> </w:t>
      </w:r>
      <w:r>
        <w:t xml:space="preserve">: species canopy strategies along with their leaf habit could exacerbate or counteract drought vulnerability</w:t>
      </w:r>
      <w:r>
        <w:t xml:space="preserve"> </w:t>
      </w:r>
      <w:r>
        <w:t xml:space="preserve">(Rahman</w:t>
      </w:r>
      <w:r>
        <w:t xml:space="preserve"> </w:t>
      </w:r>
      <w:r>
        <w:rPr>
          <w:iCs/>
          <w:i/>
        </w:rPr>
        <w:t xml:space="preserve">et al.</w:t>
      </w:r>
      <w:r>
        <w:t xml:space="preserve">, 2019)</w:t>
      </w:r>
      <w:r>
        <w:t xml:space="preserve">. Under high exposure, deciduous species are potentially more drought resistant than evergreen species, while the pattern could be less clear under low exposure.</w:t>
      </w:r>
      <w:r>
        <w:br/>
      </w:r>
    </w:p>
    <w:p>
      <w:pPr>
        <w:numPr>
          <w:ilvl w:val="0"/>
          <w:numId w:val="1001"/>
        </w:numPr>
        <w:pStyle w:val="Compact"/>
      </w:pPr>
      <w:r>
        <w:rPr>
          <w:bCs/>
          <w:b/>
        </w:rPr>
        <w:t xml:space="preserve">leaf habit x habitat</w:t>
      </w:r>
      <w:r>
        <w:t xml:space="preserve"> </w:t>
      </w:r>
      <w:r>
        <w:t xml:space="preserve">: tropical evergreen and deciduous species have different habitat preferences</w:t>
      </w:r>
      <w:r>
        <w:t xml:space="preserve"> </w:t>
      </w:r>
      <w:r>
        <w:t xml:space="preserve">(Kunert</w:t>
      </w:r>
      <w:r>
        <w:t xml:space="preserve"> </w:t>
      </w:r>
      <w:r>
        <w:rPr>
          <w:iCs/>
          <w:i/>
        </w:rPr>
        <w:t xml:space="preserve">et al.</w:t>
      </w:r>
      <w:r>
        <w:t xml:space="preserve">, 2021)</w:t>
      </w:r>
      <w:r>
        <w:t xml:space="preserve"> </w:t>
      </w:r>
      <w:r>
        <w:t xml:space="preserve">that could affect their drought resistance.</w:t>
      </w:r>
      <w:r>
        <w:br/>
      </w:r>
    </w:p>
    <w:p>
      <w:pPr>
        <w:numPr>
          <w:ilvl w:val="0"/>
          <w:numId w:val="1001"/>
        </w:numPr>
        <w:pStyle w:val="Compact"/>
      </w:pPr>
      <w:r>
        <w:rPr>
          <w:bCs/>
          <w:b/>
        </w:rPr>
        <w:t xml:space="preserve">habitat x exposure</w:t>
      </w:r>
      <w:r>
        <w:t xml:space="preserve"> </w:t>
      </w:r>
      <w:r>
        <w:t xml:space="preserve">: trees with high exposure in upland habitats are expected to have lowest drought resistance because of the compounding influence of abiotic stressors.</w:t>
      </w:r>
    </w:p>
    <w:bookmarkEnd w:id="21"/>
    <w:bookmarkStart w:id="22" w:name="methods"/>
    <w:p>
      <w:pPr>
        <w:pStyle w:val="Heading1"/>
      </w:pPr>
      <w:r>
        <w:t xml:space="preserve">Methods</w:t>
      </w:r>
    </w:p>
    <w:p>
      <w:pPr>
        <w:pStyle w:val="FirstParagraph"/>
      </w:pPr>
      <w:r>
        <w:t xml:space="preserve">ForestGEO data</w:t>
      </w:r>
      <w:r>
        <w:t xml:space="preserve"> </w:t>
      </w:r>
      <w:r>
        <w:t xml:space="preserve">(Anderson-Teixeira</w:t>
      </w:r>
      <w:r>
        <w:t xml:space="preserve"> </w:t>
      </w:r>
      <w:r>
        <w:rPr>
          <w:iCs/>
          <w:i/>
        </w:rPr>
        <w:t xml:space="preserve">et al.</w:t>
      </w:r>
      <w:r>
        <w:t xml:space="preserve">, 2015)</w:t>
      </w:r>
    </w:p>
    <w:p>
      <w:pPr>
        <w:pStyle w:val="BodyText"/>
      </w:pPr>
      <w:r>
        <w:rPr>
          <w:iCs/>
          <w:i/>
          <w:bCs/>
          <w:b/>
        </w:rPr>
        <w:t xml:space="preserve">Sites and data</w:t>
      </w:r>
    </w:p>
    <w:p>
      <w:pPr>
        <w:pStyle w:val="BodyText"/>
      </w:pPr>
      <w:r>
        <w:rPr>
          <w:iCs/>
          <w:i/>
        </w:rPr>
        <w:t xml:space="preserve">Huai Kha Khaeng plot</w:t>
      </w:r>
      <w:r>
        <w:t xml:space="preserve"> </w:t>
      </w:r>
      <w:r>
        <w:t xml:space="preserve">- location</w:t>
      </w:r>
      <w:r>
        <w:t xml:space="preserve"> </w:t>
      </w:r>
      <w:r>
        <w:t xml:space="preserve">- annual precipitation</w:t>
      </w:r>
      <w:r>
        <w:t xml:space="preserve"> </w:t>
      </w:r>
      <w:r>
        <w:t xml:space="preserve">- ecosystem type/association</w:t>
      </w:r>
      <w:r>
        <w:t xml:space="preserve"> </w:t>
      </w:r>
      <w:r>
        <w:t xml:space="preserve">- long-term trends from</w:t>
      </w:r>
      <w:r>
        <w:t xml:space="preserve"> </w:t>
      </w:r>
      <w:r>
        <w:t xml:space="preserve">(</w:t>
      </w:r>
      <w:r>
        <w:rPr>
          <w:bCs/>
          <w:b/>
        </w:rPr>
        <w:t xml:space="preserve">vlam?</w:t>
      </w:r>
      <w:r>
        <w:t xml:space="preserve">)</w:t>
      </w:r>
      <w:r>
        <w:t xml:space="preserve"> </w:t>
      </w:r>
      <w:r>
        <w:t xml:space="preserve">et al etc</w:t>
      </w:r>
    </w:p>
    <w:p>
      <w:pPr>
        <w:pStyle w:val="BodyText"/>
      </w:pPr>
      <w:r>
        <w:rPr>
          <w:iCs/>
          <w:i/>
        </w:rPr>
        <w:t xml:space="preserve">Resistance</w:t>
      </w:r>
      <w:r>
        <w:t xml:space="preserve"> </w:t>
      </w:r>
      <w:r>
        <w:t xml:space="preserve">- Dendrometer band measurements - census protocol</w:t>
      </w:r>
      <w:r>
        <w:t xml:space="preserve"> </w:t>
      </w:r>
      <w:r>
        <w:t xml:space="preserve">- Calculated DBH at each instance from first DBH and window size using Condit’s functions.</w:t>
      </w:r>
      <w:r>
        <w:t xml:space="preserve"> </w:t>
      </w:r>
      <w:r>
        <w:t xml:space="preserve">- Removed measures with large decimal errors, potential band misID, large outliers (&gt; 3 SD).</w:t>
      </w:r>
      <w:r>
        <w:t xml:space="preserve"> </w:t>
      </w:r>
      <w:r>
        <w:t xml:space="preserve">- calculated increments for each individual for each census year using dendroband data and tape measurement</w:t>
      </w:r>
      <w:r>
        <w:t xml:space="preserve"> </w:t>
      </w:r>
      <w:r>
        <w:t xml:space="preserve">- tape measurement does not have accuracy required to measure this effect, but used tape increments to detect outliers.</w:t>
      </w:r>
      <w:r>
        <w:t xml:space="preserve"> </w:t>
      </w:r>
      <w:r>
        <w:t xml:space="preserve">- removed all increment measurements with more than 0.5 cm deviation from the 1:1 line for dendro and tape increments</w:t>
      </w:r>
      <w:r>
        <w:t xml:space="preserve"> </w:t>
      </w:r>
      <w:r>
        <w:t xml:space="preserve">- For each drought year, used drought-year increment.</w:t>
      </w:r>
      <w:r>
        <w:t xml:space="preserve"> </w:t>
      </w:r>
      <w:r>
        <w:t xml:space="preserve">- for each tree, long-term growth was calculated as the mean growth across 20 years of full-plot censuses</w:t>
      </w:r>
      <w:r>
        <w:t xml:space="preserve"> </w:t>
      </w:r>
      <w:r>
        <w:t xml:space="preserve">- Resistance - ratio of drought-year increment to long-term growth for each individual tree</w:t>
      </w:r>
    </w:p>
    <w:p>
      <w:pPr>
        <w:pStyle w:val="BodyText"/>
      </w:pPr>
      <w:r>
        <w:rPr>
          <w:iCs/>
          <w:i/>
        </w:rPr>
        <w:t xml:space="preserve">Tree size</w:t>
      </w:r>
      <w:r>
        <w:t xml:space="preserve"> </w:t>
      </w:r>
      <w:r>
        <w:t xml:space="preserve">- calculated DBH for at the start of the drought year from dendrometer band window</w:t>
      </w:r>
    </w:p>
    <w:p>
      <w:pPr>
        <w:pStyle w:val="BodyText"/>
      </w:pPr>
      <w:r>
        <w:rPr>
          <w:iCs/>
          <w:i/>
        </w:rPr>
        <w:t xml:space="preserve">Deciduousness</w:t>
      </w:r>
      <w:r>
        <w:t xml:space="preserve"> </w:t>
      </w:r>
      <w:r>
        <w:t xml:space="preserve">-data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-Leaf phenology score - mean proportion of crown loss.</w:t>
      </w:r>
      <w:r>
        <w:t xml:space="preserve"> </w:t>
      </w:r>
      <w:r>
        <w:t xml:space="preserve">-Continuous scale from 1 to 4, where 4 is maximum crown loss or deciduousness.</w:t>
      </w:r>
      <w:r>
        <w:t xml:space="preserve"> </w:t>
      </w:r>
      <w:r>
        <w:t xml:space="preserve">-One value per species.</w:t>
      </w:r>
      <w:r>
        <w:t xml:space="preserve"> </w:t>
      </w:r>
      <w:r>
        <w:t xml:space="preserve">- 7 species out of the top 51 species in the dendroband census have no values. (currently excluded from analysis but can fill these with best estimates and add them back in)</w:t>
      </w:r>
    </w:p>
    <w:p>
      <w:pPr>
        <w:pStyle w:val="BodyText"/>
      </w:pPr>
      <w:r>
        <w:rPr>
          <w:iCs/>
          <w:i/>
        </w:rPr>
        <w:t xml:space="preserve">Exposure</w:t>
      </w:r>
      <w:r>
        <w:t xml:space="preserve"> </w:t>
      </w:r>
      <w:r>
        <w:t xml:space="preserve">- crown illumination index for each individual, collected at each dendrometer band census</w:t>
      </w:r>
      <w:r>
        <w:t xml:space="preserve"> </w:t>
      </w:r>
      <w:r>
        <w:t xml:space="preserve">- categorical variable with values 1 to 5 where 1 is least exposed and 5 is most exposed</w:t>
      </w:r>
    </w:p>
    <w:p>
      <w:pPr>
        <w:pStyle w:val="BodyText"/>
      </w:pPr>
      <w:r>
        <w:rPr>
          <w:iCs/>
          <w:i/>
        </w:rPr>
        <w:t xml:space="preserve">Topographic Wetness Index</w:t>
      </w:r>
      <w:r>
        <w:t xml:space="preserve"> </w:t>
      </w:r>
      <w:r>
        <w:t xml:space="preserve">- calculated from topography</w:t>
      </w:r>
      <w:r>
        <w:t xml:space="preserve"> </w:t>
      </w:r>
      <w:r>
        <w:t xml:space="preserve">- estimate of water availability at a location</w:t>
      </w:r>
    </w:p>
    <w:p>
      <w:pPr>
        <w:pStyle w:val="BodyText"/>
      </w:pPr>
      <w:r>
        <w:rPr>
          <w:iCs/>
          <w:i/>
          <w:bCs/>
          <w:b/>
        </w:rPr>
        <w:t xml:space="preserve">Models</w:t>
      </w:r>
    </w:p>
    <w:p>
      <w:pPr>
        <w:pStyle w:val="BodyText"/>
      </w:pPr>
      <w:r>
        <w:t xml:space="preserve">For individual stems, we modelled drought resistance as:</w:t>
      </w:r>
    </w:p>
    <w:p>
      <w:pPr>
        <w:pStyle w:val="BodyText"/>
      </w:pPr>
      <m:oMathPara>
        <m:oMathParaPr>
          <m:jc m:val="center"/>
        </m:oMathParaPr>
        <m:oMath>
          <m:r>
            <m:t>r</m:t>
          </m:r>
          <m:r>
            <m:t>e</m:t>
          </m:r>
          <m:r>
            <m:t>s</m:t>
          </m:r>
          <m:r>
            <m:t>i</m:t>
          </m:r>
          <m:r>
            <m:t>s</m:t>
          </m:r>
          <m:r>
            <m:t>t</m:t>
          </m:r>
          <m:r>
            <m:t>a</m:t>
          </m:r>
          <m:r>
            <m:t>n</m:t>
          </m:r>
          <m:r>
            <m:t>c</m:t>
          </m:r>
          <m:r>
            <m:t>e</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w</m:t>
          </m:r>
          <m:r>
            <m:t>a</m:t>
          </m:r>
          <m:r>
            <m:t>t</m:t>
          </m:r>
          <m:r>
            <m:t>e</m:t>
          </m:r>
          <m:r>
            <m:t>r</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e</m:t>
          </m:r>
          <m:r>
            <m:t>x</m:t>
          </m:r>
          <m:r>
            <m:t>p</m:t>
          </m:r>
          <m:r>
            <m:t>o</m:t>
          </m:r>
          <m:r>
            <m:t>s</m:t>
          </m:r>
          <m:r>
            <m:t>u</m:t>
          </m:r>
          <m:r>
            <m:t>r</m:t>
          </m:r>
          <m:r>
            <m:t>e</m:t>
          </m:r>
          <m:r>
            <m:rPr>
              <m:sty m:val="p"/>
            </m:rPr>
            <m:t>+</m:t>
          </m:r>
          <m:r>
            <m:t>s</m:t>
          </m:r>
          <m:r>
            <m:t>i</m:t>
          </m:r>
          <m:r>
            <m:t>z</m:t>
          </m:r>
          <m:r>
            <m:t>e</m:t>
          </m:r>
          <m:r>
            <m:rPr>
              <m:sty m:val="p"/>
            </m:rPr>
            <m:t>*</m:t>
          </m:r>
          <m:r>
            <m:t>d</m:t>
          </m:r>
          <m:r>
            <m:t>e</m:t>
          </m:r>
          <m:r>
            <m:t>c</m:t>
          </m:r>
          <m:r>
            <m:t>i</m:t>
          </m:r>
          <m:r>
            <m:t>d</m:t>
          </m:r>
          <m:r>
            <m:t>u</m:t>
          </m:r>
          <m:r>
            <m:t>o</m:t>
          </m:r>
          <m:r>
            <m:t>u</m:t>
          </m:r>
          <m:r>
            <m:t>s</m:t>
          </m:r>
          <m:r>
            <m:t>n</m:t>
          </m:r>
          <m:r>
            <m:t>e</m:t>
          </m:r>
          <m:r>
            <m:t>s</m:t>
          </m:r>
          <m:r>
            <m:t>s</m:t>
          </m:r>
          <m:r>
            <m:rPr>
              <m:sty m:val="p"/>
            </m:rPr>
            <m:t>+</m:t>
          </m:r>
          <m:d>
            <m:dPr>
              <m:begChr m:val="("/>
              <m:endChr m:val=")"/>
              <m:sepChr m:val=""/>
              <m:grow/>
            </m:dPr>
            <m:e>
              <m:r>
                <m:t>1</m:t>
              </m:r>
              <m:r>
                <m:rPr>
                  <m:sty m:val="p"/>
                </m:rPr>
                <m:t>|</m:t>
              </m:r>
              <m:r>
                <m:t>d</m:t>
              </m:r>
              <m:r>
                <m:t>r</m:t>
              </m:r>
              <m:r>
                <m:t>o</m:t>
              </m:r>
              <m:r>
                <m:t>u</m:t>
              </m:r>
              <m:r>
                <m:t>g</m:t>
              </m:r>
              <m:r>
                <m:t>h</m:t>
              </m:r>
              <m:r>
                <m:t>t</m:t>
              </m:r>
              <m:r>
                <m:rPr>
                  <m:sty m:val="p"/>
                </m:rPr>
                <m:t>.</m:t>
              </m:r>
              <m:r>
                <m:t>y</m:t>
              </m:r>
              <m:r>
                <m:t>e</m:t>
              </m:r>
              <m:r>
                <m:t>a</m:t>
              </m:r>
              <m:r>
                <m:t>r</m:t>
              </m:r>
            </m:e>
          </m:d>
        </m:oMath>
      </m:oMathPara>
    </w:p>
    <w:bookmarkEnd w:id="22"/>
    <w:bookmarkStart w:id="23" w:name="results"/>
    <w:p>
      <w:pPr>
        <w:pStyle w:val="Heading1"/>
      </w:pPr>
      <w:r>
        <w:t xml:space="preserve">Results</w:t>
      </w:r>
    </w:p>
    <w:bookmarkEnd w:id="23"/>
    <w:bookmarkStart w:id="24" w:name="discussion"/>
    <w:p>
      <w:pPr>
        <w:pStyle w:val="Heading1"/>
      </w:pPr>
      <w:r>
        <w:t xml:space="preserve">Discussion</w:t>
      </w:r>
    </w:p>
    <w:p>
      <w:r>
        <w:br w:type="page"/>
      </w:r>
    </w:p>
    <w:bookmarkEnd w:id="24"/>
    <w:bookmarkStart w:id="64" w:name="references"/>
    <w:p>
      <w:pPr>
        <w:pStyle w:val="Heading1"/>
      </w:pPr>
      <w:r>
        <w:t xml:space="preserve">References</w:t>
      </w:r>
    </w:p>
    <w:bookmarkStart w:id="63" w:name="refs"/>
    <w:bookmarkStart w:id="26"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25">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26"/>
    <w:bookmarkStart w:id="28"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27">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28"/>
    <w:bookmarkStart w:id="30"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29">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30"/>
    <w:bookmarkStart w:id="32"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31">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32"/>
    <w:bookmarkStart w:id="34"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34"/>
    <w:bookmarkStart w:id="36"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35">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36"/>
    <w:bookmarkStart w:id="38"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3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38"/>
    <w:bookmarkStart w:id="40"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3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40"/>
    <w:bookmarkStart w:id="42"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42"/>
    <w:bookmarkStart w:id="44"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43">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44"/>
    <w:bookmarkStart w:id="46"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4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46"/>
    <w:bookmarkStart w:id="48"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7">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48"/>
    <w:bookmarkStart w:id="50"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49">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50"/>
    <w:bookmarkStart w:id="52" w:name="ref-rahman_speciesspecific_2019"/>
    <w:p>
      <w:pPr>
        <w:pStyle w:val="Bibliography"/>
      </w:pPr>
      <w:r>
        <w:rPr>
          <w:bCs/>
          <w:b/>
          <w:bCs/>
          <w:b/>
        </w:rPr>
        <w:t xml:space="preserve">Rahman M</w:t>
      </w:r>
      <w:r>
        <w:rPr>
          <w:bCs/>
          <w:b/>
        </w:rPr>
        <w:t xml:space="preserve">,</w:t>
      </w:r>
      <w:r>
        <w:rPr>
          <w:bCs/>
          <w:b/>
        </w:rPr>
        <w:t xml:space="preserve"> </w:t>
      </w:r>
      <w:r>
        <w:rPr>
          <w:bCs/>
          <w:b/>
          <w:bCs/>
          <w:b/>
        </w:rPr>
        <w:t xml:space="preserve">Islam M</w:t>
      </w:r>
      <w:r>
        <w:rPr>
          <w:bCs/>
          <w:b/>
        </w:rPr>
        <w:t xml:space="preserve">,</w:t>
      </w:r>
      <w:r>
        <w:rPr>
          <w:bCs/>
          <w:b/>
        </w:rPr>
        <w:t xml:space="preserve"> </w:t>
      </w:r>
      <w:r>
        <w:rPr>
          <w:bCs/>
          <w:b/>
          <w:bCs/>
          <w:b/>
        </w:rPr>
        <w:t xml:space="preserve">Bräuning A</w:t>
      </w:r>
      <w:r>
        <w:t xml:space="preserve">.</w:t>
      </w:r>
      <w:r>
        <w:t xml:space="preserve"> </w:t>
      </w:r>
      <w:r>
        <w:rPr>
          <w:bCs/>
          <w:b/>
        </w:rPr>
        <w:t xml:space="preserve">2019</w:t>
      </w:r>
      <w:r>
        <w:t xml:space="preserve">.</w:t>
      </w:r>
      <w:r>
        <w:t xml:space="preserve"> </w:t>
      </w:r>
      <w:hyperlink r:id="rId51">
        <w:r>
          <w:rPr>
            <w:rStyle w:val="Hyperlink"/>
          </w:rPr>
          <w:t xml:space="preserve">Species-specific growth resilience to drought in a mixed semi-deciduous tropical moist forest in</w:t>
        </w:r>
        <w:r>
          <w:rPr>
            <w:rStyle w:val="Hyperlink"/>
          </w:rPr>
          <w:t xml:space="preserve"> </w:t>
        </w:r>
        <w:r>
          <w:rPr>
            <w:rStyle w:val="Hyperlink"/>
          </w:rPr>
          <w:t xml:space="preserve">South Asia</w:t>
        </w:r>
      </w:hyperlink>
      <w:r>
        <w:t xml:space="preserve">.</w:t>
      </w:r>
      <w:r>
        <w:t xml:space="preserve"> </w:t>
      </w:r>
      <w:r>
        <w:rPr>
          <w:iCs/>
          <w:i/>
        </w:rPr>
        <w:t xml:space="preserve">Forest Ecology and Management</w:t>
      </w:r>
      <w:r>
        <w:t xml:space="preserve"> </w:t>
      </w:r>
      <w:r>
        <w:rPr>
          <w:bCs/>
          <w:b/>
        </w:rPr>
        <w:t xml:space="preserve">433</w:t>
      </w:r>
      <w:r>
        <w:t xml:space="preserve">: 487–496.</w:t>
      </w:r>
    </w:p>
    <w:bookmarkEnd w:id="52"/>
    <w:bookmarkStart w:id="54" w:name="ref-rüger_growth_2011"/>
    <w:p>
      <w:pPr>
        <w:pStyle w:val="Bibliography"/>
      </w:pPr>
      <w:r>
        <w:rPr>
          <w:bCs/>
          <w:b/>
          <w:bCs/>
          <w:b/>
        </w:rPr>
        <w:t xml:space="preserve">Rüger N</w:t>
      </w:r>
      <w:r>
        <w:rPr>
          <w:bCs/>
          <w:b/>
        </w:rPr>
        <w:t xml:space="preserve">,</w:t>
      </w:r>
      <w:r>
        <w:rPr>
          <w:bCs/>
          <w:b/>
        </w:rPr>
        <w:t xml:space="preserve"> </w:t>
      </w:r>
      <w:r>
        <w:rPr>
          <w:bCs/>
          <w:b/>
          <w:bCs/>
          <w:b/>
        </w:rPr>
        <w:t xml:space="preserve">Berger U</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Vieilledent G</w:t>
      </w:r>
      <w:r>
        <w:rPr>
          <w:bCs/>
          <w:b/>
        </w:rPr>
        <w:t xml:space="preserve">,</w:t>
      </w:r>
      <w:r>
        <w:rPr>
          <w:bCs/>
          <w:b/>
        </w:rPr>
        <w:t xml:space="preserve"> </w:t>
      </w:r>
      <w:r>
        <w:rPr>
          <w:bCs/>
          <w:b/>
          <w:bCs/>
          <w:b/>
        </w:rPr>
        <w:t xml:space="preserve">Condit R</w:t>
      </w:r>
      <w:r>
        <w:t xml:space="preserve">.</w:t>
      </w:r>
      <w:r>
        <w:t xml:space="preserve"> </w:t>
      </w:r>
      <w:r>
        <w:rPr>
          <w:bCs/>
          <w:b/>
        </w:rPr>
        <w:t xml:space="preserve">2011</w:t>
      </w:r>
      <w:r>
        <w:t xml:space="preserve">.</w:t>
      </w:r>
      <w:r>
        <w:t xml:space="preserve"> </w:t>
      </w:r>
      <w:hyperlink r:id="rId53">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 </w:t>
      </w:r>
      <w:r>
        <w:t xml:space="preserve">(E Scalas, Ed.).</w:t>
      </w:r>
      <w:r>
        <w:t xml:space="preserve"> </w:t>
      </w:r>
      <w:r>
        <w:rPr>
          <w:iCs/>
          <w:i/>
        </w:rPr>
        <w:t xml:space="preserve">PLoS ONE</w:t>
      </w:r>
      <w:r>
        <w:t xml:space="preserve"> </w:t>
      </w:r>
      <w:r>
        <w:rPr>
          <w:bCs/>
          <w:b/>
        </w:rPr>
        <w:t xml:space="preserve">6</w:t>
      </w:r>
      <w:r>
        <w:t xml:space="preserve">: e25330.</w:t>
      </w:r>
    </w:p>
    <w:bookmarkEnd w:id="54"/>
    <w:bookmarkStart w:id="56"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55">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56"/>
    <w:bookmarkStart w:id="58"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5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58"/>
    <w:bookmarkStart w:id="60" w:name="ref-wagner_water_2012"/>
    <w:p>
      <w:pPr>
        <w:pStyle w:val="Bibliography"/>
      </w:pPr>
      <w:r>
        <w:rPr>
          <w:bCs/>
          <w:b/>
          <w:bCs/>
          <w:b/>
        </w:rPr>
        <w:t xml:space="preserve">Wagner F</w:t>
      </w:r>
      <w:r>
        <w:rPr>
          <w:bCs/>
          <w:b/>
        </w:rPr>
        <w:t xml:space="preserve">,</w:t>
      </w:r>
      <w:r>
        <w:rPr>
          <w:bCs/>
          <w:b/>
        </w:rPr>
        <w:t xml:space="preserve"> </w:t>
      </w:r>
      <w:r>
        <w:rPr>
          <w:bCs/>
          <w:b/>
          <w:bCs/>
          <w:b/>
        </w:rPr>
        <w:t xml:space="preserve">Rossi V</w:t>
      </w:r>
      <w:r>
        <w:rPr>
          <w:bCs/>
          <w:b/>
        </w:rPr>
        <w:t xml:space="preserve">,</w:t>
      </w:r>
      <w:r>
        <w:rPr>
          <w:bCs/>
          <w:b/>
        </w:rPr>
        <w:t xml:space="preserve"> </w:t>
      </w:r>
      <w:r>
        <w:rPr>
          <w:bCs/>
          <w:b/>
          <w:bCs/>
          <w:b/>
        </w:rPr>
        <w:t xml:space="preserve">Stahl C</w:t>
      </w:r>
      <w:r>
        <w:rPr>
          <w:bCs/>
          <w:b/>
        </w:rPr>
        <w:t xml:space="preserve">,</w:t>
      </w:r>
      <w:r>
        <w:rPr>
          <w:bCs/>
          <w:b/>
        </w:rPr>
        <w:t xml:space="preserve"> </w:t>
      </w:r>
      <w:r>
        <w:rPr>
          <w:bCs/>
          <w:b/>
          <w:bCs/>
          <w:b/>
        </w:rPr>
        <w:t xml:space="preserve">Bonal D</w:t>
      </w:r>
      <w:r>
        <w:rPr>
          <w:bCs/>
          <w:b/>
        </w:rPr>
        <w:t xml:space="preserve">,</w:t>
      </w:r>
      <w:r>
        <w:rPr>
          <w:bCs/>
          <w:b/>
        </w:rPr>
        <w:t xml:space="preserve"> </w:t>
      </w:r>
      <w:r>
        <w:rPr>
          <w:bCs/>
          <w:b/>
          <w:bCs/>
          <w:b/>
        </w:rPr>
        <w:t xml:space="preserve">Hérault B</w:t>
      </w:r>
      <w:r>
        <w:t xml:space="preserve">.</w:t>
      </w:r>
      <w:r>
        <w:t xml:space="preserve"> </w:t>
      </w:r>
      <w:r>
        <w:rPr>
          <w:bCs/>
          <w:b/>
        </w:rPr>
        <w:t xml:space="preserve">2012</w:t>
      </w:r>
      <w:r>
        <w:t xml:space="preserve">.</w:t>
      </w:r>
      <w:r>
        <w:t xml:space="preserve"> </w:t>
      </w:r>
      <w:hyperlink r:id="rId59">
        <w:r>
          <w:rPr>
            <w:rStyle w:val="Hyperlink"/>
          </w:rPr>
          <w:t xml:space="preserve">Water</w:t>
        </w:r>
        <w:r>
          <w:rPr>
            <w:rStyle w:val="Hyperlink"/>
          </w:rPr>
          <w:t xml:space="preserve"> </w:t>
        </w:r>
        <w:r>
          <w:rPr>
            <w:rStyle w:val="Hyperlink"/>
          </w:rPr>
          <w:t xml:space="preserve">Availability Is</w:t>
        </w:r>
        <w:r>
          <w:rPr>
            <w:rStyle w:val="Hyperlink"/>
          </w:rPr>
          <w:t xml:space="preserve"> </w:t>
        </w:r>
        <w:r>
          <w:rPr>
            <w:rStyle w:val="Hyperlink"/>
          </w:rPr>
          <w:t xml:space="preserve">the</w:t>
        </w:r>
        <w:r>
          <w:rPr>
            <w:rStyle w:val="Hyperlink"/>
          </w:rPr>
          <w:t xml:space="preserve"> </w:t>
        </w:r>
        <w:r>
          <w:rPr>
            <w:rStyle w:val="Hyperlink"/>
          </w:rPr>
          <w:t xml:space="preserve">Main Climate Driver</w:t>
        </w:r>
        <w:r>
          <w:rPr>
            <w:rStyle w:val="Hyperlink"/>
          </w:rPr>
          <w:t xml:space="preserve"> </w:t>
        </w:r>
        <w:r>
          <w:rPr>
            <w:rStyle w:val="Hyperlink"/>
          </w:rPr>
          <w:t xml:space="preserve">of</w:t>
        </w:r>
        <w:r>
          <w:rPr>
            <w:rStyle w:val="Hyperlink"/>
          </w:rPr>
          <w:t xml:space="preserve"> </w:t>
        </w:r>
        <w:r>
          <w:rPr>
            <w:rStyle w:val="Hyperlink"/>
          </w:rPr>
          <w:t xml:space="preserve">Neotropical Tree Growth</w:t>
        </w:r>
      </w:hyperlink>
      <w:r>
        <w:t xml:space="preserve"> </w:t>
      </w:r>
      <w:r>
        <w:t xml:space="preserve">(G Bohrer, Ed.).</w:t>
      </w:r>
      <w:r>
        <w:t xml:space="preserve"> </w:t>
      </w:r>
      <w:r>
        <w:rPr>
          <w:iCs/>
          <w:i/>
        </w:rPr>
        <w:t xml:space="preserve">PLoS ONE</w:t>
      </w:r>
      <w:r>
        <w:t xml:space="preserve"> </w:t>
      </w:r>
      <w:r>
        <w:rPr>
          <w:bCs/>
          <w:b/>
        </w:rPr>
        <w:t xml:space="preserve">7</w:t>
      </w:r>
      <w:r>
        <w:t xml:space="preserve">: e34074.</w:t>
      </w:r>
    </w:p>
    <w:bookmarkEnd w:id="60"/>
    <w:bookmarkStart w:id="62"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6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62"/>
    <w:bookmarkEnd w:id="63"/>
    <w:bookmarkEnd w:id="64"/>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1" Target="https://doi.org/10.1007/s00442-007-0938-1" TargetMode="External" /><Relationship Type="http://schemas.openxmlformats.org/officeDocument/2006/relationships/hyperlink" Id="rId37" Target="https://doi.org/10.1007/s00442-020-04760-3" TargetMode="External" /><Relationship Type="http://schemas.openxmlformats.org/officeDocument/2006/relationships/hyperlink" Id="rId55" Target="https://doi.org/10.1016/j.dendro.2019.04.001" TargetMode="External" /><Relationship Type="http://schemas.openxmlformats.org/officeDocument/2006/relationships/hyperlink" Id="rId51" Target="https://doi.org/10.1016/j.foreco.2018.11.034" TargetMode="External" /><Relationship Type="http://schemas.openxmlformats.org/officeDocument/2006/relationships/hyperlink" Id="rId29" Target="https://doi.org/10.1038/nplants.2015.139" TargetMode="External" /><Relationship Type="http://schemas.openxmlformats.org/officeDocument/2006/relationships/hyperlink" Id="rId45" Target="https://doi.org/10.1038/s41467-023-43083-8" TargetMode="External" /><Relationship Type="http://schemas.openxmlformats.org/officeDocument/2006/relationships/hyperlink" Id="rId49" Target="https://doi.org/10.1073/pnas.1721728115" TargetMode="External" /><Relationship Type="http://schemas.openxmlformats.org/officeDocument/2006/relationships/hyperlink" Id="rId35" Target="https://doi.org/10.1088/1748-9326/aa75d7" TargetMode="External" /><Relationship Type="http://schemas.openxmlformats.org/officeDocument/2006/relationships/hyperlink" Id="rId43" Target="https://doi.org/10.1111/btp.13270" TargetMode="External" /><Relationship Type="http://schemas.openxmlformats.org/officeDocument/2006/relationships/hyperlink" Id="rId25" Target="https://doi.org/10.1111/gcb.12712" TargetMode="External" /><Relationship Type="http://schemas.openxmlformats.org/officeDocument/2006/relationships/hyperlink" Id="rId27" Target="https://doi.org/10.1111/gcb.15934" TargetMode="External" /><Relationship Type="http://schemas.openxmlformats.org/officeDocument/2006/relationships/hyperlink" Id="rId47" Target="https://doi.org/10.1111/nph.16996" TargetMode="External" /><Relationship Type="http://schemas.openxmlformats.org/officeDocument/2006/relationships/hyperlink" Id="rId41" Target="https://doi.org/10.1111/nph.17187" TargetMode="External" /><Relationship Type="http://schemas.openxmlformats.org/officeDocument/2006/relationships/hyperlink" Id="rId33" Target="https://doi.org/10.1111/nph.17464" TargetMode="External" /><Relationship Type="http://schemas.openxmlformats.org/officeDocument/2006/relationships/hyperlink" Id="rId57" Target="https://doi.org/10.1111/nph.18539" TargetMode="External" /><Relationship Type="http://schemas.openxmlformats.org/officeDocument/2006/relationships/hyperlink" Id="rId39" Target="https://doi.org/10.1111/nph.19130" TargetMode="External" /><Relationship Type="http://schemas.openxmlformats.org/officeDocument/2006/relationships/hyperlink" Id="rId53" Target="https://doi.org/10.1371/journal.pone.0025330" TargetMode="External" /><Relationship Type="http://schemas.openxmlformats.org/officeDocument/2006/relationships/hyperlink" Id="rId59" Target="https://doi.org/10.1371/journal.pone.0034074" TargetMode="External" /><Relationship Type="http://schemas.openxmlformats.org/officeDocument/2006/relationships/hyperlink" Id="rId31" Target="https://doi.org/10.3390/agronomy12071647"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7/s00442-007-0938-1" TargetMode="External" /><Relationship Type="http://schemas.openxmlformats.org/officeDocument/2006/relationships/hyperlink" Id="rId37" Target="https://doi.org/10.1007/s00442-020-04760-3" TargetMode="External" /><Relationship Type="http://schemas.openxmlformats.org/officeDocument/2006/relationships/hyperlink" Id="rId55" Target="https://doi.org/10.1016/j.dendro.2019.04.001" TargetMode="External" /><Relationship Type="http://schemas.openxmlformats.org/officeDocument/2006/relationships/hyperlink" Id="rId51" Target="https://doi.org/10.1016/j.foreco.2018.11.034" TargetMode="External" /><Relationship Type="http://schemas.openxmlformats.org/officeDocument/2006/relationships/hyperlink" Id="rId29" Target="https://doi.org/10.1038/nplants.2015.139" TargetMode="External" /><Relationship Type="http://schemas.openxmlformats.org/officeDocument/2006/relationships/hyperlink" Id="rId45" Target="https://doi.org/10.1038/s41467-023-43083-8" TargetMode="External" /><Relationship Type="http://schemas.openxmlformats.org/officeDocument/2006/relationships/hyperlink" Id="rId49" Target="https://doi.org/10.1073/pnas.1721728115" TargetMode="External" /><Relationship Type="http://schemas.openxmlformats.org/officeDocument/2006/relationships/hyperlink" Id="rId35" Target="https://doi.org/10.1088/1748-9326/aa75d7" TargetMode="External" /><Relationship Type="http://schemas.openxmlformats.org/officeDocument/2006/relationships/hyperlink" Id="rId43" Target="https://doi.org/10.1111/btp.13270" TargetMode="External" /><Relationship Type="http://schemas.openxmlformats.org/officeDocument/2006/relationships/hyperlink" Id="rId25" Target="https://doi.org/10.1111/gcb.12712" TargetMode="External" /><Relationship Type="http://schemas.openxmlformats.org/officeDocument/2006/relationships/hyperlink" Id="rId27" Target="https://doi.org/10.1111/gcb.15934" TargetMode="External" /><Relationship Type="http://schemas.openxmlformats.org/officeDocument/2006/relationships/hyperlink" Id="rId47" Target="https://doi.org/10.1111/nph.16996" TargetMode="External" /><Relationship Type="http://schemas.openxmlformats.org/officeDocument/2006/relationships/hyperlink" Id="rId41" Target="https://doi.org/10.1111/nph.17187" TargetMode="External" /><Relationship Type="http://schemas.openxmlformats.org/officeDocument/2006/relationships/hyperlink" Id="rId33" Target="https://doi.org/10.1111/nph.17464" TargetMode="External" /><Relationship Type="http://schemas.openxmlformats.org/officeDocument/2006/relationships/hyperlink" Id="rId57" Target="https://doi.org/10.1111/nph.18539" TargetMode="External" /><Relationship Type="http://schemas.openxmlformats.org/officeDocument/2006/relationships/hyperlink" Id="rId39" Target="https://doi.org/10.1111/nph.19130" TargetMode="External" /><Relationship Type="http://schemas.openxmlformats.org/officeDocument/2006/relationships/hyperlink" Id="rId53" Target="https://doi.org/10.1371/journal.pone.0025330" TargetMode="External" /><Relationship Type="http://schemas.openxmlformats.org/officeDocument/2006/relationships/hyperlink" Id="rId59" Target="https://doi.org/10.1371/journal.pone.0034074" TargetMode="External" /><Relationship Type="http://schemas.openxmlformats.org/officeDocument/2006/relationships/hyperlink" Id="rId31" Target="https://doi.org/10.3390/agronomy12071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2024-07-12T07:45:24Z</dcterms:created>
  <dcterms:modified xsi:type="dcterms:W3CDTF">2024-07-12T07:45:24Z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