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more severe drought, deciduous species were more sensitive than evergreen species.</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971800"/>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ii) How does deciduousness influence the drought sensitivity of a species? iii) How much of the intraspecific variation is explained by tree height</w:t>
      </w:r>
      <w:r>
        <w:t xml:space="preserve"> </w:t>
      </w:r>
      <w:r>
        <w:rPr>
          <w:iCs/>
          <w:i/>
        </w:rPr>
        <w:t xml:space="preserve">per se</w:t>
      </w:r>
      <w:r>
        <w:t xml:space="preserve">, crown exposure and the habitat of the tree (proxy for water and nutrient availability). We hypothesise that growth during drought is affected by: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(lat/long).</w:t>
      </w:r>
      <w:r>
        <w:t xml:space="preserve"> </w:t>
      </w:r>
      <w:r>
        <w:t xml:space="preserve">This is a 50-hectate 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large decimal errors, potential misidentified bands (old band numbers that restarted after stopping) and large measurement outliers (&gt; 3 standard deviations from the mean).</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3669832" cy="5504749"/>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3669832" cy="5504749"/>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t xml:space="preserve">We calculated the sensitivity of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We calculated two species-level traits : deciduousness and maximum size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 Alphonsea 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p>
    <w:p>
      <w:pPr>
        <w:pStyle w:val="BodyText"/>
      </w:pPr>
      <w:r>
        <w:t xml:space="preserve">Across all individuals in the plot, we calculated topographic wetness index based on a 5 m x 5 m elevation layer collected at plot establishment.</w:t>
      </w:r>
      <w:r>
        <w:t xml:space="preserve"> </w:t>
      </w:r>
      <w:r>
        <w:t xml:space="preserve">Topographic wetness index provides an expectation of the water availability across space based on the concavity/convexity of a location.</w:t>
      </w:r>
      <w:r>
        <w:t xml:space="preserve"> </w:t>
      </w:r>
      <w:r>
        <w:t xml:space="preserve">To model sensitivity among individuals, we also used tree size (DBH at previous dendroband census) and crown exposure measured as crown illumination index.</w:t>
      </w:r>
      <w:r>
        <w:t xml:space="preserve"> </w:t>
      </w:r>
      <w:r>
        <w:t xml:space="preserve">Crown illumination index is an ordinal categorical variable from 1 to 5 (least to most exposed) measured at each dendroband census.</w:t>
      </w:r>
    </w:p>
    <w:p>
      <w:pPr>
        <w:pStyle w:val="BodyText"/>
      </w:pPr>
      <w:r>
        <w:rPr>
          <w:iCs/>
          <w:i/>
          <w:bCs/>
          <w:b/>
        </w:rPr>
        <w:t xml:space="preserve">Statistical methods</w:t>
      </w:r>
    </w:p>
    <w:p>
      <w:pPr>
        <w:pStyle w:val="BodyText"/>
      </w:pPr>
      <w:r>
        <w:t xml:space="preserve">For individual stems, we modelled drought sensitivity as:</w:t>
      </w:r>
    </w:p>
    <w:bookmarkEnd w:id="31"/>
    <w:bookmarkStart w:id="32" w:name="results"/>
    <w:p>
      <w:pPr>
        <w:pStyle w:val="Heading1"/>
      </w:pPr>
      <w:r>
        <w:t xml:space="preserve">Results</w:t>
      </w:r>
    </w:p>
    <w:bookmarkEnd w:id="32"/>
    <w:bookmarkStart w:id="33" w:name="discussion"/>
    <w:p>
      <w:pPr>
        <w:pStyle w:val="Heading1"/>
      </w:pPr>
      <w:r>
        <w:t xml:space="preserve">Discussion</w:t>
      </w:r>
    </w:p>
    <w:bookmarkEnd w:id="33"/>
    <w:bookmarkStart w:id="34" w:name="acknowledgements"/>
    <w:p>
      <w:pPr>
        <w:pStyle w:val="Heading1"/>
      </w:pPr>
      <w:r>
        <w:t xml:space="preserve">Acknowledgements</w:t>
      </w:r>
    </w:p>
    <w:bookmarkEnd w:id="34"/>
    <w:bookmarkStart w:id="35" w:name="competing-interests"/>
    <w:p>
      <w:pPr>
        <w:pStyle w:val="Heading1"/>
      </w:pPr>
      <w:r>
        <w:t xml:space="preserve">Competing interests</w:t>
      </w:r>
    </w:p>
    <w:bookmarkEnd w:id="35"/>
    <w:bookmarkStart w:id="36" w:name="author-contributions"/>
    <w:p>
      <w:pPr>
        <w:pStyle w:val="Heading1"/>
      </w:pPr>
      <w:r>
        <w:t xml:space="preserve">Author contributions</w:t>
      </w:r>
    </w:p>
    <w:bookmarkEnd w:id="36"/>
    <w:bookmarkStart w:id="37" w:name="data-availability"/>
    <w:p>
      <w:pPr>
        <w:pStyle w:val="Heading1"/>
      </w:pPr>
      <w:r>
        <w:t xml:space="preserve">Data availability</w:t>
      </w:r>
    </w:p>
    <w:p>
      <w:r>
        <w:br w:type="page"/>
      </w:r>
    </w:p>
    <w:bookmarkEnd w:id="37"/>
    <w:bookmarkStart w:id="73" w:name="references"/>
    <w:p>
      <w:pPr>
        <w:pStyle w:val="Heading1"/>
      </w:pPr>
      <w:r>
        <w:t xml:space="preserve">References</w:t>
      </w:r>
    </w:p>
    <w:bookmarkStart w:id="72" w:name="refs"/>
    <w:bookmarkStart w:id="39"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3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39"/>
    <w:bookmarkStart w:id="41"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41"/>
    <w:bookmarkStart w:id="43"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42">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43"/>
    <w:bookmarkStart w:id="45"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44">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45"/>
    <w:bookmarkStart w:id="47"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47"/>
    <w:bookmarkStart w:id="49"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4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49"/>
    <w:bookmarkStart w:id="51"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5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51"/>
    <w:bookmarkStart w:id="53"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5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53"/>
    <w:bookmarkStart w:id="55"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55"/>
    <w:bookmarkStart w:id="57"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56">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57"/>
    <w:bookmarkStart w:id="59"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59"/>
    <w:bookmarkStart w:id="61"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61"/>
    <w:bookmarkStart w:id="63"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62">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63"/>
    <w:bookmarkStart w:id="65"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64">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65"/>
    <w:bookmarkStart w:id="67"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6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67"/>
    <w:bookmarkStart w:id="69"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6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69"/>
    <w:bookmarkStart w:id="71"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7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71"/>
    <w:bookmarkEnd w:id="72"/>
    <w:bookmarkEnd w:id="7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70" Target="https://doi.org/10.1007/s00442-007-0938-1" TargetMode="External" /><Relationship Type="http://schemas.openxmlformats.org/officeDocument/2006/relationships/hyperlink" Id="rId68" Target="https://doi.org/10.1007/s00442-013-2846-x" TargetMode="External" /><Relationship Type="http://schemas.openxmlformats.org/officeDocument/2006/relationships/hyperlink" Id="rId50" Target="https://doi.org/10.1007/s00442-020-04760-3" TargetMode="External" /><Relationship Type="http://schemas.openxmlformats.org/officeDocument/2006/relationships/hyperlink" Id="rId64" Target="https://doi.org/10.1016/j.dendro.2019.04.001" TargetMode="External" /><Relationship Type="http://schemas.openxmlformats.org/officeDocument/2006/relationships/hyperlink" Id="rId42" Target="https://doi.org/10.1038/nplants.2015.139" TargetMode="External" /><Relationship Type="http://schemas.openxmlformats.org/officeDocument/2006/relationships/hyperlink" Id="rId58" Target="https://doi.org/10.1038/s41467-023-43083-8" TargetMode="External" /><Relationship Type="http://schemas.openxmlformats.org/officeDocument/2006/relationships/hyperlink" Id="rId62" Target="https://doi.org/10.1073/pnas.1721728115" TargetMode="External" /><Relationship Type="http://schemas.openxmlformats.org/officeDocument/2006/relationships/hyperlink" Id="rId48" Target="https://doi.org/10.1088/1748-9326/aa75d7" TargetMode="External" /><Relationship Type="http://schemas.openxmlformats.org/officeDocument/2006/relationships/hyperlink" Id="rId56" Target="https://doi.org/10.1111/btp.13270" TargetMode="External" /><Relationship Type="http://schemas.openxmlformats.org/officeDocument/2006/relationships/hyperlink" Id="rId38" Target="https://doi.org/10.1111/gcb.12712" TargetMode="External" /><Relationship Type="http://schemas.openxmlformats.org/officeDocument/2006/relationships/hyperlink" Id="rId40" Target="https://doi.org/10.1111/gcb.15934" TargetMode="External" /><Relationship Type="http://schemas.openxmlformats.org/officeDocument/2006/relationships/hyperlink" Id="rId60" Target="https://doi.org/10.1111/nph.16996" TargetMode="External" /><Relationship Type="http://schemas.openxmlformats.org/officeDocument/2006/relationships/hyperlink" Id="rId54" Target="https://doi.org/10.1111/nph.17187" TargetMode="External" /><Relationship Type="http://schemas.openxmlformats.org/officeDocument/2006/relationships/hyperlink" Id="rId46" Target="https://doi.org/10.1111/nph.17464" TargetMode="External" /><Relationship Type="http://schemas.openxmlformats.org/officeDocument/2006/relationships/hyperlink" Id="rId66" Target="https://doi.org/10.1111/nph.18539" TargetMode="External" /><Relationship Type="http://schemas.openxmlformats.org/officeDocument/2006/relationships/hyperlink" Id="rId52" Target="https://doi.org/10.1111/nph.19130" TargetMode="External" /><Relationship Type="http://schemas.openxmlformats.org/officeDocument/2006/relationships/hyperlink" Id="rId4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7/s00442-007-0938-1" TargetMode="External" /><Relationship Type="http://schemas.openxmlformats.org/officeDocument/2006/relationships/hyperlink" Id="rId68" Target="https://doi.org/10.1007/s00442-013-2846-x" TargetMode="External" /><Relationship Type="http://schemas.openxmlformats.org/officeDocument/2006/relationships/hyperlink" Id="rId50" Target="https://doi.org/10.1007/s00442-020-04760-3" TargetMode="External" /><Relationship Type="http://schemas.openxmlformats.org/officeDocument/2006/relationships/hyperlink" Id="rId64" Target="https://doi.org/10.1016/j.dendro.2019.04.001" TargetMode="External" /><Relationship Type="http://schemas.openxmlformats.org/officeDocument/2006/relationships/hyperlink" Id="rId42" Target="https://doi.org/10.1038/nplants.2015.139" TargetMode="External" /><Relationship Type="http://schemas.openxmlformats.org/officeDocument/2006/relationships/hyperlink" Id="rId58" Target="https://doi.org/10.1038/s41467-023-43083-8" TargetMode="External" /><Relationship Type="http://schemas.openxmlformats.org/officeDocument/2006/relationships/hyperlink" Id="rId62" Target="https://doi.org/10.1073/pnas.1721728115" TargetMode="External" /><Relationship Type="http://schemas.openxmlformats.org/officeDocument/2006/relationships/hyperlink" Id="rId48" Target="https://doi.org/10.1088/1748-9326/aa75d7" TargetMode="External" /><Relationship Type="http://schemas.openxmlformats.org/officeDocument/2006/relationships/hyperlink" Id="rId56" Target="https://doi.org/10.1111/btp.13270" TargetMode="External" /><Relationship Type="http://schemas.openxmlformats.org/officeDocument/2006/relationships/hyperlink" Id="rId38" Target="https://doi.org/10.1111/gcb.12712" TargetMode="External" /><Relationship Type="http://schemas.openxmlformats.org/officeDocument/2006/relationships/hyperlink" Id="rId40" Target="https://doi.org/10.1111/gcb.15934" TargetMode="External" /><Relationship Type="http://schemas.openxmlformats.org/officeDocument/2006/relationships/hyperlink" Id="rId60" Target="https://doi.org/10.1111/nph.16996" TargetMode="External" /><Relationship Type="http://schemas.openxmlformats.org/officeDocument/2006/relationships/hyperlink" Id="rId54" Target="https://doi.org/10.1111/nph.17187" TargetMode="External" /><Relationship Type="http://schemas.openxmlformats.org/officeDocument/2006/relationships/hyperlink" Id="rId46" Target="https://doi.org/10.1111/nph.17464" TargetMode="External" /><Relationship Type="http://schemas.openxmlformats.org/officeDocument/2006/relationships/hyperlink" Id="rId66" Target="https://doi.org/10.1111/nph.18539" TargetMode="External" /><Relationship Type="http://schemas.openxmlformats.org/officeDocument/2006/relationships/hyperlink" Id="rId52" Target="https://doi.org/10.1111/nph.19130" TargetMode="External" /><Relationship Type="http://schemas.openxmlformats.org/officeDocument/2006/relationships/hyperlink" Id="rId4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2025-01-22T20:31:07Z</dcterms:created>
  <dcterms:modified xsi:type="dcterms:W3CDTF">2025-01-22T20:31:07Z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