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 1:</w:t>
      </w:r>
      <w:r>
        <w:t xml:space="preserve"> </w:t>
      </w:r>
      <w:r>
        <w:t xml:space="preserve">Sensitivity of tree growth to drought in a seasonally dry tropical forest using long-term dendrometer band measurements</w:t>
      </w:r>
    </w:p>
    <w:p>
      <w:pPr>
        <w:pStyle w:val="BodyText"/>
      </w:pPr>
      <w:r>
        <w:rPr>
          <w:bCs/>
          <w:b/>
        </w:rPr>
        <w:t xml:space="preserve">Title 2:</w:t>
      </w:r>
      <w:r>
        <w:t xml:space="preserve"> </w:t>
      </w:r>
      <w:r>
        <w:t xml:space="preserve">Contrasting effects of species and environmental predictors on tree growth sensitivity to different/two droughts in a seasonally dry tropical forest</w:t>
      </w:r>
    </w:p>
    <w:p>
      <w:pPr>
        <w:pStyle w:val="BodyText"/>
      </w:pPr>
      <w:r>
        <w:rPr>
          <w:bCs/>
          <w:b/>
        </w:rPr>
        <w:t xml:space="preserve">Title 3:</w:t>
      </w:r>
      <w:r>
        <w:t xml:space="preserve"> </w:t>
      </w:r>
      <w:r>
        <w:t xml:space="preserve">Diversity of species- and environment-mediated drought responses in a seasonally dry tropical forest</w:t>
      </w:r>
    </w:p>
    <w:p>
      <w:pPr>
        <w:pStyle w:val="BodyText"/>
      </w:pPr>
      <w:r>
        <w:rPr>
          <w:bCs/>
          <w:b/>
        </w:rPr>
        <w:t xml:space="preserve">Title 4:</w:t>
      </w:r>
      <w:r>
        <w:t xml:space="preserve"> </w:t>
      </w:r>
      <w:r>
        <w:t xml:space="preserve">Long-term dendrometer band measurements reveal diverse species- and environment-mediated drought responses in a seasonally dry tropical forest</w:t>
      </w:r>
    </w:p>
    <w:p>
      <w:pPr>
        <w:pStyle w:val="BodyText"/>
      </w:pPr>
      <w:r>
        <w:rPr>
          <w:bCs/>
          <w:b/>
        </w:rPr>
        <w:t xml:space="preserve">Title 5:</w:t>
      </w:r>
      <w:r>
        <w:t xml:space="preserve"> </w:t>
      </w:r>
      <w:r>
        <w:t xml:space="preserve">Deciduousness may exacerbate/worsen/amplify tree growth sensitivity during wet season droughts in seasonally dry tropical forests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br/>
      </w:r>
      <w:r>
        <w:rPr>
          <w:bCs/>
          <w:b/>
        </w:rPr>
        <w:t xml:space="preserve">Number of Tables:</w:t>
      </w:r>
      <w:r>
        <w:br/>
      </w:r>
      <w:r>
        <w:rPr>
          <w:bCs/>
          <w:b/>
        </w:rPr>
        <w:t xml:space="preserve">Number of Text boxes:</w:t>
      </w:r>
    </w:p>
    <w:p>
      <w:pPr>
        <w:pStyle w:val="BodyText"/>
      </w:pPr>
      <w:r>
        <w:rPr>
          <w:bCs/>
          <w:b/>
        </w:rPr>
        <w:t xml:space="preserve">Corresponding author address:</w:t>
      </w:r>
    </w:p>
    <w:bookmarkStart w:id="20" w:name="keywords"/>
    <w:p>
      <w:pPr>
        <w:pStyle w:val="Heading1"/>
      </w:pPr>
      <w:r>
        <w:t xml:space="preserve">Keywords</w:t>
      </w:r>
    </w:p>
    <w:bookmarkEnd w:id="20"/>
    <w:bookmarkStart w:id="21" w:name="statement-of-authorship"/>
    <w:p>
      <w:pPr>
        <w:pStyle w:val="Heading1"/>
      </w:pPr>
      <w:r>
        <w:t xml:space="preserve">Statement of Authorship</w:t>
      </w:r>
    </w:p>
    <w:bookmarkEnd w:id="21"/>
    <w:bookmarkStart w:id="22" w:name="data-accessibility-statement"/>
    <w:p>
      <w:pPr>
        <w:pStyle w:val="Heading1"/>
      </w:pPr>
      <w:r>
        <w:t xml:space="preserve">Data Accessibility Statement</w:t>
      </w:r>
    </w:p>
    <w:p>
      <w:r>
        <w:br w:type="page"/>
      </w:r>
    </w:p>
    <w:bookmarkEnd w:id="22"/>
    <w:bookmarkStart w:id="23" w:name="abstract-150-words"/>
    <w:p>
      <w:pPr>
        <w:pStyle w:val="Heading1"/>
      </w:pPr>
      <w:r>
        <w:t xml:space="preserve">Abstract (150 words)</w:t>
      </w:r>
    </w:p>
    <w:p>
      <w:pPr>
        <w:pStyle w:val="FirstParagraph"/>
      </w:pPr>
      <w:r>
        <w:t xml:space="preserve">Tropical tree woody growth has long-lasting impacts on the terrestrial carbon pool, but how climate anomalies like drought might impact the growth of tropical tree growth is poorly understood.</w:t>
      </w:r>
      <w:r>
        <w:t xml:space="preserve"> </w:t>
      </w:r>
      <w:r>
        <w:t xml:space="preserve">In seasonally dry tropical forests, species evolutionary adaptations to hot dry seasons, like dry season deciduousness, or species distributions in relation to water availability might buffer growth sensitivity to drought.</w:t>
      </w:r>
      <w:r>
        <w:t xml:space="preserve"> </w:t>
      </w:r>
      <w:r>
        <w:t xml:space="preserve"> </w:t>
      </w:r>
      <w:r>
        <w:t xml:space="preserve">We used a unique data record - manual dendrometer band measurements over 15 years on 1820 trees across 30 species in a seasonally dry tropical forest in</w:t>
      </w:r>
      <w:r>
        <w:t xml:space="preserve"> </w:t>
      </w:r>
      <w:r>
        <w:t xml:space="preserve">Thailand, along with species and individual characteristics, using Bayesian regressions in a causal modelling framework to predict the sensitivity of tree growth to drought in two ENSO drought events with different characteristics - a wet-/dry-season drought.</w:t>
      </w:r>
      <w:r>
        <w:t xml:space="preserve"> </w:t>
      </w:r>
      <w:r>
        <w:t xml:space="preserve">Species and stems exhibited a wide range of drought sensitivities within a drought event, as well as contrasting responses across these two droughts.</w:t>
      </w:r>
      <w:r>
        <w:t xml:space="preserve"> </w:t>
      </w:r>
      <w:r>
        <w:t xml:space="preserve">Deciduous species were more sensitive than evergreen species in the wet-season drought, with this difference worsened in wetter microclimates.</w:t>
      </w:r>
      <w:r>
        <w:t xml:space="preserve"> </w:t>
      </w:r>
      <w:r>
        <w:t xml:space="preserve">Crown exposure was associated with stronger negative sensitivities in the dry season drought.</w:t>
      </w:r>
      <w:r>
        <w:t xml:space="preserve"> </w:t>
      </w:r>
      <w:r>
        <w:t xml:space="preserve">With observed regime shifts in precipitation across the global tropics and increasing incidence of climate anomalies, trees within seasonally dry tropical forests might experience divergent responses.</w:t>
      </w:r>
    </w:p>
    <w:p>
      <w:r>
        <w:br w:type="page"/>
      </w:r>
    </w:p>
    <w:bookmarkEnd w:id="23"/>
    <w:bookmarkStart w:id="28" w:name="introduction"/>
    <w:p>
      <w:pPr>
        <w:pStyle w:val="Heading1"/>
      </w:pPr>
      <w:r>
        <w:t xml:space="preserve">Introduction</w:t>
      </w:r>
    </w:p>
    <w:p>
      <w:pPr>
        <w:pStyle w:val="FirstParagraph"/>
      </w:pPr>
      <w:r>
        <w:t xml:space="preserve">Tropical tree woody growth has long-lasting impacts on the terrestrial carbon pool, but it may be vulnerable to climate anomalies like drought.</w:t>
      </w:r>
      <w:r>
        <w:br/>
      </w:r>
      <w:r>
        <w:t xml:space="preserve">- Woody growth has one of the longest residence times in terrestrial carbon pool, contributing to long-lasting impacts on carbon removal from the atmosphere</w:t>
      </w:r>
      <w:r>
        <w:t xml:space="preserve"> </w:t>
      </w:r>
      <w:r>
        <w:t xml:space="preserve">(Muller-Landau</w:t>
      </w:r>
      <w:r>
        <w:t xml:space="preserve"> </w:t>
      </w:r>
      <w:r>
        <w:rPr>
          <w:iCs/>
          <w:i/>
        </w:rPr>
        <w:t xml:space="preserve">et al.</w:t>
      </w:r>
      <w:r>
        <w:t xml:space="preserve"> </w:t>
      </w:r>
      <w:r>
        <w:t xml:space="preserve">2021; Yang</w:t>
      </w:r>
      <w:r>
        <w:t xml:space="preserve"> </w:t>
      </w:r>
      <w:r>
        <w:rPr>
          <w:iCs/>
          <w:i/>
        </w:rPr>
        <w:t xml:space="preserve">et al.</w:t>
      </w:r>
      <w:r>
        <w:t xml:space="preserve"> </w:t>
      </w:r>
      <w:r>
        <w:t xml:space="preserve">2021)</w:t>
      </w:r>
      <w:r>
        <w:t xml:space="preserve">.</w:t>
      </w:r>
      <w:r>
        <w:br/>
      </w:r>
      <w:r>
        <w:t xml:space="preserve">- Climate anomalies like drought can lead to stand-level growth reductions, along with increased mortality</w:t>
      </w:r>
      <w:r>
        <w:t xml:space="preserve"> </w:t>
      </w:r>
      <w:r>
        <w:t xml:space="preserve">(Bauman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br/>
      </w:r>
      <w:r>
        <w:t xml:space="preserve"> </w:t>
      </w:r>
      <w:r>
        <w:t xml:space="preserve">- Seasonally dry tropical forests are especially vulnerable to ecological impacts of drought, being at the edge of plant thermal and water stress tolerance</w:t>
      </w:r>
      <w:r>
        <w:t xml:space="preserve"> </w:t>
      </w:r>
      <w:r>
        <w:t xml:space="preserve">(Allen</w:t>
      </w:r>
      <w:r>
        <w:t xml:space="preserve"> </w:t>
      </w:r>
      <w:r>
        <w:rPr>
          <w:iCs/>
          <w:i/>
        </w:rPr>
        <w:t xml:space="preserve">et al.</w:t>
      </w:r>
      <w:r>
        <w:t xml:space="preserve"> </w:t>
      </w:r>
      <w:r>
        <w:t xml:space="preserve">2017)</w:t>
      </w:r>
      <w:r>
        <w:t xml:space="preserve">.</w:t>
      </w:r>
      <w:r>
        <w:t xml:space="preserve"> </w:t>
      </w:r>
      <w:r>
        <w:t xml:space="preserve">- Within a stand, drought sensitivity varies among species and individuals, but the extent and drivers of this variation in drought responses is poorly understood.</w:t>
      </w:r>
      <w:r>
        <w:br/>
      </w:r>
      <w:r>
        <w:t xml:space="preserve">- With changing climate patterns across the global tropics, emergence of novel climatic regimes like</w:t>
      </w:r>
      <w:r>
        <w:t xml:space="preserve"> </w:t>
      </w:r>
      <w:r>
        <w:t xml:space="preserve">“</w:t>
      </w:r>
      <w:r>
        <w:t xml:space="preserve">very extreme droughts</w:t>
      </w:r>
      <w:r>
        <w:t xml:space="preserve">”</w:t>
      </w:r>
      <w:r>
        <w:t xml:space="preserve"> </w:t>
      </w:r>
      <w:r>
        <w:t xml:space="preserve">in recent decades</w:t>
      </w:r>
      <w:r>
        <w:t xml:space="preserve"> </w:t>
      </w:r>
      <w:r>
        <w:t xml:space="preserve">(Dahinden</w:t>
      </w:r>
      <w:r>
        <w:t xml:space="preserve"> </w:t>
      </w:r>
      <w:r>
        <w:rPr>
          <w:iCs/>
          <w:i/>
        </w:rPr>
        <w:t xml:space="preserve">et al.</w:t>
      </w:r>
      <w:r>
        <w:t xml:space="preserve"> </w:t>
      </w:r>
      <w:r>
        <w:t xml:space="preserve">2017; Luo &amp; Keenan 2022)</w:t>
      </w:r>
      <w:r>
        <w:t xml:space="preserve">, there is an urgent need to understand the drivers of this variation, to be able to predict and respond to forest drought responses.</w:t>
      </w:r>
    </w:p>
    <w:p>
      <w:pPr>
        <w:pStyle w:val="BodyText"/>
      </w:pPr>
      <w:r>
        <w:t xml:space="preserve">Seasonally dry tropical forests can be more vulnerable to droughts, despite trees being adapted to strong dry seasons.</w:t>
      </w:r>
      <w:r>
        <w:br/>
      </w:r>
      <w:r>
        <w:t xml:space="preserve">- Trees in seasonally dry forests are routinely exposed to hot, dry conditions in the dry season and may have evolutionary strategies like dry-season deciduousness and drought deciduousness for survival.</w:t>
      </w:r>
      <w:r>
        <w:br/>
      </w:r>
      <w:r>
        <w:t xml:space="preserve">- However, across the global tropics, drier forests show stronger sensitivities to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 One potential reason - thermal/water stress tolerance thresholds crossed</w:t>
      </w:r>
      <w:r>
        <w:t xml:space="preserve"> </w:t>
      </w:r>
      <w:r>
        <w:t xml:space="preserve">(Allen</w:t>
      </w:r>
      <w:r>
        <w:t xml:space="preserve"> </w:t>
      </w:r>
      <w:r>
        <w:rPr>
          <w:iCs/>
          <w:i/>
        </w:rPr>
        <w:t xml:space="preserve">et al.</w:t>
      </w:r>
      <w:r>
        <w:t xml:space="preserve"> </w:t>
      </w:r>
      <w:r>
        <w:t xml:space="preserve">2017)</w:t>
      </w:r>
      <w:r>
        <w:t xml:space="preserve">.</w:t>
      </w:r>
      <w:r>
        <w:br/>
      </w:r>
      <w:r>
        <w:t xml:space="preserve">- Another reason: drought events are climatically different in timing and intensity, with trees exposed to drought conditions in different parts of their seasonal phenologies.</w:t>
      </w:r>
      <w:r>
        <w:br/>
      </w:r>
      <w:r>
        <w:t xml:space="preserve">- Morevoer, besides broad patterns at the stand level, species- and individual-level heterogeneity can lead to divergent responses with consequences for stand composition.</w:t>
      </w:r>
      <w:r>
        <w:br/>
      </w:r>
      <w:r>
        <w:t xml:space="preserve">- Some of the discrepancies between expectations from trees and observations at the stand-level may be resolved by considering factors that determine drought sensitivity across species and individuals</w:t>
      </w:r>
    </w:p>
    <w:p>
      <w:pPr>
        <w:pStyle w:val="BodyText"/>
      </w:pPr>
      <w:r>
        <w:t xml:space="preserve">Trees in seasonally dry forests have strategies that span and interact across timescales to maximise growth and survival under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ecophysiological - e.g. negative TLPs, plasticity in deciduousness (root/shoot)</w:t>
      </w:r>
      <w:r>
        <w:t xml:space="preserve"> </w:t>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Some of these adaptations may confer drought sensitivity and buffer stem growth declines during drought years, or may tradeoff with advantages in normal years.</w:t>
      </w:r>
      <w:r>
        <w:t xml:space="preserve"> </w:t>
      </w:r>
      <w:r>
        <w:t xml:space="preserve">- To understand drought sensitivity representative of stand diversity, trees across these strategies need to be analysed.</w:t>
      </w:r>
      <w:r>
        <w:t xml:space="preserve"> </w:t>
      </w:r>
      <w:r>
        <w:t xml:space="preserve"> </w:t>
      </w:r>
    </w:p>
    <w:p>
      <w:pPr>
        <w:pStyle w:val="BodyText"/>
      </w:pPr>
      <w:r>
        <w:t xml:space="preserve">Drought sensitivity representative of stand diversity in seasonally dry tropical forests is difficult to assess using standard methods.</w:t>
      </w:r>
      <w:r>
        <w:br/>
      </w:r>
      <w:r>
        <w:t xml:space="preserve">- Annual tree rings - found in SDTFs but not many species,</w:t>
      </w:r>
      <w:r>
        <w:br/>
      </w:r>
      <w:r>
        <w:t xml:space="preserve">- Species with rings represent specific strategy to water use and growth - and often affiliated to drier microenvironments.</w:t>
      </w:r>
      <w:r>
        <w:br/>
      </w:r>
      <w:r>
        <w:t xml:space="preserve">- Tape measurements - more representative, but may not be annual because of effort</w:t>
      </w:r>
      <w:r>
        <w:br/>
      </w:r>
      <w:r>
        <w:t xml:space="preserve">- Even when tape measures are annual, not enough precision; error for each tape measure is 1mm, error for growth is at least 2mm. (Median annual growth across trees in HKK is ~1.4 mm, deviation from annual growth needs more precision).</w:t>
      </w:r>
      <w:r>
        <w:br/>
      </w:r>
      <w:r>
        <w:t xml:space="preserve">- In sum, these methods may only be capturing the most dramatic effects - the most severe droughts that affect ring-forming species or produce large-enough declines in fast-growing individuals.</w:t>
      </w:r>
      <w:r>
        <w:br/>
      </w:r>
      <w:r>
        <w:t xml:space="preserve">- Methods need to capture species strategies, distributions across microenvironments, and be precise enough.</w:t>
      </w:r>
      <w:r>
        <w:br/>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5" name="Picture"/>
            <a:graphic>
              <a:graphicData uri="http://schemas.openxmlformats.org/drawingml/2006/picture">
                <pic:pic>
                  <pic:nvPicPr>
                    <pic:cNvPr descr="display/Fig1.png" id="26" name="Picture"/>
                    <pic:cNvPicPr>
                      <a:picLocks noChangeArrowheads="1" noChangeAspect="1"/>
                    </pic:cNvPicPr>
                  </pic:nvPicPr>
                  <pic:blipFill>
                    <a:blip r:embed="rId24"/>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7">
        <w:r>
          <w:rPr>
            <w:rStyle w:val="Hyperlink"/>
          </w:rPr>
          <w:t xml:space="preserve">https://github.com/forestgeo/growth-precip-thailand/issues/10</w:t>
        </w:r>
      </w:hyperlink>
    </w:p>
    <w:p>
      <w:pPr>
        <w:pStyle w:val="BodyText"/>
      </w:pPr>
      <w:r>
        <w:t xml:space="preserve">Here we examine individual tree growth during two known ENSO drought years, one in the dry season and another in the wet season, within a 14-year record of dendrometer band measurements in a seasonally dry forest in Thailand to disentangle drivers of variation in drought sensitivity.</w:t>
      </w:r>
      <w:r>
        <w:t xml:space="preserve"> </w:t>
      </w:r>
      <w:r>
        <w:t xml:space="preserve"> </w:t>
      </w:r>
      <w:r>
        <w:t xml:space="preserve">We ask: i) How much do species vary in drought sensitivity of tree growth? What drives this variation ii) What drives variation among individuals in the sensitivity of growth to drought?</w:t>
      </w:r>
      <w:r>
        <w:t xml:space="preserve"> </w:t>
      </w:r>
      <w:r>
        <w:t xml:space="preserve">We hypothesise that species and individuals have different sensitivities to wet and dry season droughts, based on their traits and microenvironments.</w:t>
      </w:r>
      <w:r>
        <w:t xml:space="preserve"> </w:t>
      </w:r>
      <w:r>
        <w:t xml:space="preserve">Specifically, we hypothesise that i) species growth sensitivities to wet and dry season droughts are influenced by deciduousness; deciduous species are negatively affected by wet season droughts because of shorter growing seasons.</w:t>
      </w:r>
      <w:r>
        <w:t xml:space="preserve"> </w:t>
      </w:r>
      <w:r>
        <w:t xml:space="preserve">ii) the influence of drivers on drought sensitivity are distinct in wet and dry season droughts; canopy exposure could have stronger influence during dry season droughts while water availability has a stronger influence during wet season droughts.</w:t>
      </w:r>
    </w:p>
    <w:bookmarkEnd w:id="28"/>
    <w:bookmarkStart w:id="33"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0" name="Picture"/>
            <a:graphic>
              <a:graphicData uri="http://schemas.openxmlformats.org/drawingml/2006/picture">
                <pic:pic>
                  <pic:nvPicPr>
                    <pic:cNvPr descr="display/Fig2.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2">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3"/>
    <w:bookmarkStart w:id="50" w:name="results"/>
    <w:p>
      <w:pPr>
        <w:pStyle w:val="Heading1"/>
      </w:pPr>
      <w:r>
        <w:t xml:space="preserve">Results</w:t>
      </w:r>
    </w:p>
    <w:bookmarkStart w:id="34"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4"/>
    <w:bookmarkStart w:id="39"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6" name="Picture"/>
            <a:graphic>
              <a:graphicData uri="http://schemas.openxmlformats.org/drawingml/2006/picture">
                <pic:pic>
                  <pic:nvPicPr>
                    <pic:cNvPr descr="display/Fig3.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8">
        <w:r>
          <w:rPr>
            <w:rStyle w:val="Hyperlink"/>
          </w:rPr>
          <w:t xml:space="preserve">https://github.com/forestgeo/growth-precip-thailand/issues/12</w:t>
        </w:r>
      </w:hyperlink>
    </w:p>
    <w:bookmarkEnd w:id="39"/>
    <w:bookmarkStart w:id="44" w:name="variation-in-sensitivity-among-species"/>
    <w:p>
      <w:pPr>
        <w:pStyle w:val="Heading2"/>
      </w:pPr>
      <w:r>
        <w:t xml:space="preserve">Variation in sensitivity among species</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1" name="Picture"/>
            <a:graphic>
              <a:graphicData uri="http://schemas.openxmlformats.org/drawingml/2006/picture">
                <pic:pic>
                  <pic:nvPicPr>
                    <pic:cNvPr descr="display/Fig4.png" id="42"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3">
        <w:r>
          <w:rPr>
            <w:rStyle w:val="Hyperlink"/>
          </w:rPr>
          <w:t xml:space="preserve">https://github.com/forestgeo/growth-precip-thailand/issues/13</w:t>
        </w:r>
      </w:hyperlink>
    </w:p>
    <w:bookmarkEnd w:id="44"/>
    <w:bookmarkStart w:id="49" w:name="variation-among-individuals"/>
    <w:p>
      <w:pPr>
        <w:pStyle w:val="Heading2"/>
      </w:pPr>
      <w:r>
        <w:t xml:space="preserve">Variation among individuals</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6" name="Picture"/>
            <a:graphic>
              <a:graphicData uri="http://schemas.openxmlformats.org/drawingml/2006/picture">
                <pic:pic>
                  <pic:nvPicPr>
                    <pic:cNvPr descr="display/Fig5.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8">
        <w:r>
          <w:rPr>
            <w:rStyle w:val="Hyperlink"/>
          </w:rPr>
          <w:t xml:space="preserve">https://github.com/forestgeo/growth-precip-thailand/issues/14</w:t>
        </w:r>
      </w:hyperlink>
    </w:p>
    <w:bookmarkEnd w:id="49"/>
    <w:bookmarkEnd w:id="50"/>
    <w:bookmarkStart w:id="51" w:name="discussion"/>
    <w:p>
      <w:pPr>
        <w:pStyle w:val="Heading1"/>
      </w:pPr>
      <w:r>
        <w:t xml:space="preserve">Discussion</w:t>
      </w:r>
    </w:p>
    <w:p>
      <w:pPr>
        <w:pStyle w:val="FirstParagraph"/>
      </w:pPr>
      <w:r>
        <w:t xml:space="preserve">Unordered points from Introduction</w:t>
      </w:r>
      <w:r>
        <w:t xml:space="preserve"> </w:t>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t xml:space="preserve"> </w:t>
      </w:r>
      <w:r>
        <w:rPr>
          <w:iCs/>
          <w:i/>
        </w:rPr>
        <w:t xml:space="preserve">caveat for species-level traits</w:t>
      </w:r>
    </w:p>
    <w:p>
      <w:pPr>
        <w:pStyle w:val="BodyText"/>
      </w:pPr>
      <w:r>
        <w:rPr>
          <w:iCs/>
          <w:i/>
        </w:rPr>
        <w:t xml:space="preserve">for where else might they be allocating to?</w:t>
      </w:r>
      <w:r>
        <w:t xml:space="preserve"> </w:t>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br/>
      </w:r>
      <w:r>
        <w:t xml:space="preserve">- ENSO droguht changed regeneration dynamics in Thailand</w:t>
      </w:r>
      <w:r>
        <w:t xml:space="preserve"> </w:t>
      </w:r>
      <w:r>
        <w:t xml:space="preserve">(Nutiprapun</w:t>
      </w:r>
      <w:r>
        <w:t xml:space="preserve"> </w:t>
      </w:r>
      <w:r>
        <w:rPr>
          <w:iCs/>
          <w:i/>
        </w:rPr>
        <w:t xml:space="preserve">et al.</w:t>
      </w:r>
      <w:r>
        <w:t xml:space="preserve"> </w:t>
      </w:r>
      <w:r>
        <w:t xml:space="preserve">2023)</w:t>
      </w:r>
      <w:r>
        <w:t xml:space="preserve"> </w:t>
      </w:r>
      <w:r>
        <w:t xml:space="preserve">- deciduous species have higher survival under multi-year droughts</w:t>
      </w:r>
      <w:r>
        <w:t xml:space="preserve"> </w:t>
      </w:r>
      <w:r>
        <w:t xml:space="preserve">(</w:t>
      </w:r>
      <w:r>
        <w:rPr>
          <w:bCs/>
          <w:b/>
        </w:rPr>
        <w:t xml:space="preserve">aguirre-guiterrez?</w:t>
      </w:r>
      <w:r>
        <w:t xml:space="preserve"> </w:t>
      </w:r>
      <w:r>
        <w:t xml:space="preserve">refs)</w:t>
      </w:r>
    </w:p>
    <w:p>
      <w:pPr>
        <w:numPr>
          <w:ilvl w:val="0"/>
          <w:numId w:val="1001"/>
        </w:numPr>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p>
      <w:pPr>
        <w:numPr>
          <w:ilvl w:val="0"/>
          <w:numId w:val="1001"/>
        </w:numPr>
      </w:pPr>
      <w:r>
        <w:t xml:space="preserve">Afzelia xylocarpa, one of the tree ring species had the most distinct (positive) sensitivity in the dry season drought</w:t>
      </w:r>
      <w:r>
        <w:t xml:space="preserve"> </w:t>
      </w:r>
      <w:r>
        <w:rPr>
          <w:iCs/>
          <w:i/>
        </w:rPr>
        <w:t xml:space="preserve">on how representative sampling is important</w:t>
      </w:r>
    </w:p>
    <w:bookmarkEnd w:id="51"/>
    <w:bookmarkStart w:id="52"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2"/>
    <w:bookmarkStart w:id="53" w:name="competing-interests"/>
    <w:p>
      <w:pPr>
        <w:pStyle w:val="Heading1"/>
      </w:pPr>
      <w:r>
        <w:t xml:space="preserve">Competing interests</w:t>
      </w:r>
    </w:p>
    <w:bookmarkEnd w:id="53"/>
    <w:bookmarkStart w:id="54" w:name="author-contributions"/>
    <w:p>
      <w:pPr>
        <w:pStyle w:val="Heading1"/>
      </w:pPr>
      <w:r>
        <w:t xml:space="preserve">Author contributions</w:t>
      </w:r>
    </w:p>
    <w:bookmarkEnd w:id="54"/>
    <w:bookmarkStart w:id="55" w:name="data-availability"/>
    <w:p>
      <w:pPr>
        <w:pStyle w:val="Heading1"/>
      </w:pPr>
      <w:r>
        <w:t xml:space="preserve">Data availability</w:t>
      </w:r>
    </w:p>
    <w:p>
      <w:r>
        <w:br w:type="page"/>
      </w:r>
    </w:p>
    <w:bookmarkEnd w:id="55"/>
    <w:bookmarkStart w:id="99" w:name="references"/>
    <w:p>
      <w:pPr>
        <w:pStyle w:val="Heading1"/>
      </w:pPr>
      <w:r>
        <w:t xml:space="preserve">References</w:t>
      </w:r>
    </w:p>
    <w:bookmarkStart w:id="98" w:name="refs"/>
    <w:bookmarkStart w:id="57"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6">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7"/>
    <w:bookmarkStart w:id="59"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8">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2">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8">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69"/>
    <w:bookmarkStart w:id="71" w:name="ref-dahinden_future_2017"/>
    <w:p>
      <w:pPr>
        <w:pStyle w:val="Bibliography"/>
      </w:pPr>
      <w:r>
        <w:t xml:space="preserve">Dahinden, F., Fischer, E.M. &amp; Knutti, R. (2017).</w:t>
      </w:r>
      <w:r>
        <w:t xml:space="preserve"> </w:t>
      </w:r>
      <w:hyperlink r:id="rId7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1"/>
    <w:bookmarkStart w:id="73" w:name="ref-desouza_drought_2020"/>
    <w:p>
      <w:pPr>
        <w:pStyle w:val="Bibliography"/>
      </w:pPr>
      <w:r>
        <w:t xml:space="preserve">De Souza, B.C., Carvalho, E.C.D., Oliveira, R.S., De Araujo, F.S., De Lima, A.L.A. &amp; Rodal, M.J.N. (2020).</w:t>
      </w:r>
      <w:r>
        <w:t xml:space="preserve"> </w:t>
      </w:r>
      <w:hyperlink r:id="rId7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3"/>
    <w:bookmarkStart w:id="7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7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75"/>
    <w:bookmarkStart w:id="7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76"/>
    <w:bookmarkStart w:id="78" w:name="ref-luo_tropical_2022"/>
    <w:p>
      <w:pPr>
        <w:pStyle w:val="Bibliography"/>
      </w:pPr>
      <w:r>
        <w:t xml:space="preserve">Luo, X. &amp; Keenan, T.F. (2022).</w:t>
      </w:r>
      <w:r>
        <w:t xml:space="preserve"> </w:t>
      </w:r>
      <w:hyperlink r:id="rId7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78"/>
    <w:bookmarkStart w:id="80" w:name="ref-machado_forest_2023"/>
    <w:p>
      <w:pPr>
        <w:pStyle w:val="Bibliography"/>
      </w:pPr>
      <w:r>
        <w:t xml:space="preserve">Machado, S., Valle, D., Toh, K.B. &amp; Johnson, D.J. (2023).</w:t>
      </w:r>
      <w:r>
        <w:t xml:space="preserve"> </w:t>
      </w:r>
      <w:hyperlink r:id="rId79">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80"/>
    <w:bookmarkStart w:id="81" w:name="ref-muller-landau_metal_2008"/>
    <w:p>
      <w:pPr>
        <w:pStyle w:val="Bibliography"/>
      </w:pPr>
      <w:r>
        <w:t xml:space="preserve">Muller-Landau, H.C. (2008). Metal</w:t>
      </w:r>
      <w:r>
        <w:t xml:space="preserve"> </w:t>
      </w:r>
      <w:r>
        <w:t xml:space="preserve">Band Dendrometer Protocol</w:t>
      </w:r>
      <w:r>
        <w:t xml:space="preserve">.</w:t>
      </w:r>
    </w:p>
    <w:bookmarkEnd w:id="81"/>
    <w:bookmarkStart w:id="83" w:name="ref-muller-landau_patterns_2021"/>
    <w:p>
      <w:pPr>
        <w:pStyle w:val="Bibliography"/>
      </w:pPr>
      <w:r>
        <w:t xml:space="preserve">Muller-Landau, H.C., Cushman, K.C., Arroyo, E.E., Martinez Cano, I., Anderson-Teixeira, K.J. &amp; Backiel, B. (2021).</w:t>
      </w:r>
      <w:r>
        <w:t xml:space="preserve"> </w:t>
      </w:r>
      <w:hyperlink r:id="rId82">
        <w:r>
          <w:rPr>
            <w:rStyle w:val="Hyperlink"/>
          </w:rPr>
          <w:t xml:space="preserve">Patterns and mechanisms of spatial variation in tropical forest productivity, woody residence time, and biomass</w:t>
        </w:r>
      </w:hyperlink>
      <w:r>
        <w:t xml:space="preserve">.</w:t>
      </w:r>
      <w:r>
        <w:t xml:space="preserve"> </w:t>
      </w:r>
      <w:r>
        <w:rPr>
          <w:iCs/>
          <w:i/>
        </w:rPr>
        <w:t xml:space="preserve">New Phytologist</w:t>
      </w:r>
      <w:r>
        <w:t xml:space="preserve">, 229, 3065–3087.</w:t>
      </w:r>
    </w:p>
    <w:bookmarkEnd w:id="83"/>
    <w:bookmarkStart w:id="85" w:name="ref-nutiprapun_effects_2023"/>
    <w:p>
      <w:pPr>
        <w:pStyle w:val="Bibliography"/>
      </w:pPr>
      <w:r>
        <w:t xml:space="preserve">Nutiprapun, P., Hermhuk, S., Nanami, S., Itoh, A., Kanzaki, M. &amp; Marod, D. (2023).</w:t>
      </w:r>
      <w:r>
        <w:t xml:space="preserve"> </w:t>
      </w:r>
      <w:hyperlink r:id="rId84">
        <w:r>
          <w:rPr>
            <w:rStyle w:val="Hyperlink"/>
          </w:rPr>
          <w:t xml:space="preserve">Effects of</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drought on seedling dynamics in a seasonally dry tropical forest in</w:t>
        </w:r>
        <w:r>
          <w:rPr>
            <w:rStyle w:val="Hyperlink"/>
          </w:rPr>
          <w:t xml:space="preserve"> </w:t>
        </w:r>
        <w:r>
          <w:rPr>
            <w:rStyle w:val="Hyperlink"/>
          </w:rPr>
          <w:t xml:space="preserve">Northern Thailand</w:t>
        </w:r>
      </w:hyperlink>
      <w:r>
        <w:t xml:space="preserve">.</w:t>
      </w:r>
      <w:r>
        <w:t xml:space="preserve"> </w:t>
      </w:r>
      <w:r>
        <w:rPr>
          <w:iCs/>
          <w:i/>
        </w:rPr>
        <w:t xml:space="preserve">Global Change Biology</w:t>
      </w:r>
      <w:r>
        <w:t xml:space="preserve">, 29, 451–461.</w:t>
      </w:r>
    </w:p>
    <w:bookmarkEnd w:id="85"/>
    <w:bookmarkStart w:id="8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86"/>
    <w:bookmarkStart w:id="88" w:name="ref-rüger_growth_2011"/>
    <w:p>
      <w:pPr>
        <w:pStyle w:val="Bibliography"/>
      </w:pPr>
      <w:r>
        <w:t xml:space="preserve">Rüger, N., Berger, U., Hubbell, S.P., Vieilledent, G. &amp; Condit, R. (2011).</w:t>
      </w:r>
      <w:r>
        <w:t xml:space="preserve"> </w:t>
      </w:r>
      <w:hyperlink r:id="rId87">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88"/>
    <w:bookmarkStart w:id="9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8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90"/>
    <w:bookmarkStart w:id="92" w:name="ref-vlam_temperature_2014"/>
    <w:p>
      <w:pPr>
        <w:pStyle w:val="Bibliography"/>
      </w:pPr>
      <w:r>
        <w:t xml:space="preserve">Vlam, M., Baker, P.J., Bunyavejchewin, S. &amp; Zuidema, P.A. (2014).</w:t>
      </w:r>
      <w:r>
        <w:t xml:space="preserve"> </w:t>
      </w:r>
      <w:hyperlink r:id="rId9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92"/>
    <w:bookmarkStart w:id="94" w:name="ref-williams_deciduousness_2008"/>
    <w:p>
      <w:pPr>
        <w:pStyle w:val="Bibliography"/>
      </w:pPr>
      <w:r>
        <w:t xml:space="preserve">Williams, L.J., Bunyavejchewin, S. &amp; Baker, P.J. (2008).</w:t>
      </w:r>
      <w:r>
        <w:t xml:space="preserve"> </w:t>
      </w:r>
      <w:hyperlink r:id="rId9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94"/>
    <w:bookmarkStart w:id="9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95"/>
    <w:bookmarkStart w:id="97" w:name="ref-yang_variations_2021"/>
    <w:p>
      <w:pPr>
        <w:pStyle w:val="Bibliography"/>
      </w:pPr>
      <w:r>
        <w:t xml:space="preserve">Yang, H., Ciais, P., Wang, Y., Huang, Y., Wigneron, J.-P., Bastos, A.,</w:t>
      </w:r>
      <w:r>
        <w:t xml:space="preserve"> </w:t>
      </w:r>
      <w:r>
        <w:rPr>
          <w:iCs/>
          <w:i/>
        </w:rPr>
        <w:t xml:space="preserve">et al.</w:t>
      </w:r>
      <w:r>
        <w:t xml:space="preserve"> (2021).</w:t>
      </w:r>
      <w:r>
        <w:t xml:space="preserve"> </w:t>
      </w:r>
      <w:hyperlink r:id="rId96">
        <w:r>
          <w:rPr>
            <w:rStyle w:val="Hyperlink"/>
          </w:rPr>
          <w:t xml:space="preserve">Variations of carbon allocation and turnover time across tropical forests</w:t>
        </w:r>
      </w:hyperlink>
      <w:r>
        <w:t xml:space="preserve">.</w:t>
      </w:r>
      <w:r>
        <w:t xml:space="preserve"> </w:t>
      </w:r>
      <w:r>
        <w:rPr>
          <w:iCs/>
          <w:i/>
        </w:rPr>
        <w:t xml:space="preserve">Global Ecology and Biogeography</w:t>
      </w:r>
      <w:r>
        <w:t xml:space="preserve">, 30, 1271–1285.</w:t>
      </w:r>
    </w:p>
    <w:bookmarkEnd w:id="97"/>
    <w:bookmarkEnd w:id="98"/>
    <w:bookmarkEnd w:id="9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93" Target="https://doi.org/10.1007/s00442-007-0938-1" TargetMode="External" /><Relationship Type="http://schemas.openxmlformats.org/officeDocument/2006/relationships/hyperlink" Id="rId91" Target="https://doi.org/10.1007/s00442-013-2846-x" TargetMode="External" /><Relationship Type="http://schemas.openxmlformats.org/officeDocument/2006/relationships/hyperlink" Id="rId72" Target="https://doi.org/10.1007/s00442-020-04760-3" TargetMode="External" /><Relationship Type="http://schemas.openxmlformats.org/officeDocument/2006/relationships/hyperlink" Id="rId64" Target="https://doi.org/10.1038/nplants.2015.139" TargetMode="External" /><Relationship Type="http://schemas.openxmlformats.org/officeDocument/2006/relationships/hyperlink" Id="rId77" Target="https://doi.org/10.1038/s41467-022-28824-5" TargetMode="External" /><Relationship Type="http://schemas.openxmlformats.org/officeDocument/2006/relationships/hyperlink" Id="rId66" Target="https://doi.org/10.1038/s41558-023-01776-4" TargetMode="External" /><Relationship Type="http://schemas.openxmlformats.org/officeDocument/2006/relationships/hyperlink" Id="rId58" Target="https://doi.org/10.1088/1748-9326/aa5968" TargetMode="External" /><Relationship Type="http://schemas.openxmlformats.org/officeDocument/2006/relationships/hyperlink" Id="rId70" Target="https://doi.org/10.1088/1748-9326/aa75d7" TargetMode="External" /><Relationship Type="http://schemas.openxmlformats.org/officeDocument/2006/relationships/hyperlink" Id="rId79" Target="https://doi.org/10.1111/btp.13270" TargetMode="External" /><Relationship Type="http://schemas.openxmlformats.org/officeDocument/2006/relationships/hyperlink" Id="rId56" Target="https://doi.org/10.1111/ele.13243" TargetMode="External" /><Relationship Type="http://schemas.openxmlformats.org/officeDocument/2006/relationships/hyperlink" Id="rId60" Target="https://doi.org/10.1111/gcb.12712" TargetMode="External" /><Relationship Type="http://schemas.openxmlformats.org/officeDocument/2006/relationships/hyperlink" Id="rId62" Target="https://doi.org/10.1111/gcb.15982" TargetMode="External" /><Relationship Type="http://schemas.openxmlformats.org/officeDocument/2006/relationships/hyperlink" Id="rId84" Target="https://doi.org/10.1111/gcb.16466" TargetMode="External" /><Relationship Type="http://schemas.openxmlformats.org/officeDocument/2006/relationships/hyperlink" Id="rId96" Target="https://doi.org/10.1111/geb.13302" TargetMode="External" /><Relationship Type="http://schemas.openxmlformats.org/officeDocument/2006/relationships/hyperlink" Id="rId82" Target="https://doi.org/10.1111/nph.17084" TargetMode="External" /><Relationship Type="http://schemas.openxmlformats.org/officeDocument/2006/relationships/hyperlink" Id="rId74" Target="https://doi.org/10.1111/nph.17187" TargetMode="External" /><Relationship Type="http://schemas.openxmlformats.org/officeDocument/2006/relationships/hyperlink" Id="rId68" Target="https://doi.org/10.1111/nph.17464" TargetMode="External" /><Relationship Type="http://schemas.openxmlformats.org/officeDocument/2006/relationships/hyperlink" Id="rId89" Target="https://doi.org/10.1111/nph.18539" TargetMode="External" /><Relationship Type="http://schemas.openxmlformats.org/officeDocument/2006/relationships/hyperlink" Id="rId87" Target="https://doi.org/10.1371/journal.pone.0025330"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7/s00442-007-0938-1" TargetMode="External" /><Relationship Type="http://schemas.openxmlformats.org/officeDocument/2006/relationships/hyperlink" Id="rId91" Target="https://doi.org/10.1007/s00442-013-2846-x" TargetMode="External" /><Relationship Type="http://schemas.openxmlformats.org/officeDocument/2006/relationships/hyperlink" Id="rId72" Target="https://doi.org/10.1007/s00442-020-04760-3" TargetMode="External" /><Relationship Type="http://schemas.openxmlformats.org/officeDocument/2006/relationships/hyperlink" Id="rId64" Target="https://doi.org/10.1038/nplants.2015.139" TargetMode="External" /><Relationship Type="http://schemas.openxmlformats.org/officeDocument/2006/relationships/hyperlink" Id="rId77" Target="https://doi.org/10.1038/s41467-022-28824-5" TargetMode="External" /><Relationship Type="http://schemas.openxmlformats.org/officeDocument/2006/relationships/hyperlink" Id="rId66" Target="https://doi.org/10.1038/s41558-023-01776-4" TargetMode="External" /><Relationship Type="http://schemas.openxmlformats.org/officeDocument/2006/relationships/hyperlink" Id="rId58" Target="https://doi.org/10.1088/1748-9326/aa5968" TargetMode="External" /><Relationship Type="http://schemas.openxmlformats.org/officeDocument/2006/relationships/hyperlink" Id="rId70" Target="https://doi.org/10.1088/1748-9326/aa75d7" TargetMode="External" /><Relationship Type="http://schemas.openxmlformats.org/officeDocument/2006/relationships/hyperlink" Id="rId79" Target="https://doi.org/10.1111/btp.13270" TargetMode="External" /><Relationship Type="http://schemas.openxmlformats.org/officeDocument/2006/relationships/hyperlink" Id="rId56" Target="https://doi.org/10.1111/ele.13243" TargetMode="External" /><Relationship Type="http://schemas.openxmlformats.org/officeDocument/2006/relationships/hyperlink" Id="rId60" Target="https://doi.org/10.1111/gcb.12712" TargetMode="External" /><Relationship Type="http://schemas.openxmlformats.org/officeDocument/2006/relationships/hyperlink" Id="rId62" Target="https://doi.org/10.1111/gcb.15982" TargetMode="External" /><Relationship Type="http://schemas.openxmlformats.org/officeDocument/2006/relationships/hyperlink" Id="rId84" Target="https://doi.org/10.1111/gcb.16466" TargetMode="External" /><Relationship Type="http://schemas.openxmlformats.org/officeDocument/2006/relationships/hyperlink" Id="rId96" Target="https://doi.org/10.1111/geb.13302" TargetMode="External" /><Relationship Type="http://schemas.openxmlformats.org/officeDocument/2006/relationships/hyperlink" Id="rId82" Target="https://doi.org/10.1111/nph.17084" TargetMode="External" /><Relationship Type="http://schemas.openxmlformats.org/officeDocument/2006/relationships/hyperlink" Id="rId74" Target="https://doi.org/10.1111/nph.17187" TargetMode="External" /><Relationship Type="http://schemas.openxmlformats.org/officeDocument/2006/relationships/hyperlink" Id="rId68" Target="https://doi.org/10.1111/nph.17464" TargetMode="External" /><Relationship Type="http://schemas.openxmlformats.org/officeDocument/2006/relationships/hyperlink" Id="rId89" Target="https://doi.org/10.1111/nph.18539" TargetMode="External" /><Relationship Type="http://schemas.openxmlformats.org/officeDocument/2006/relationships/hyperlink" Id="rId87" Target="https://doi.org/10.1371/journal.pone.0025330"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2025-03-05T20:18:10Z</dcterms:created>
  <dcterms:modified xsi:type="dcterms:W3CDTF">2025-03-05T20:18:10Z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