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two known ENSO droughts, one in the dry season and another in the wet season, within a 14-year record of dendrometer band measurements in a seasonally dry forest in Thailand to test drivers of variation in the sensitivity of tropical tree growth to drought.</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We chose to model a species random effect on all slopes here to account for variation across species instead of specific traits which may have different effects with each of the variables.</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models using gaussian priors for the data distribution.</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1"/>
    <w:bookmarkStart w:id="43" w:name="results"/>
    <w:p>
      <w:pPr>
        <w:pStyle w:val="Heading1"/>
      </w:pPr>
      <w:r>
        <w:t xml:space="preserve">Results</w:t>
      </w:r>
    </w:p>
    <w:bookmarkStart w:id="32"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2"/>
    <w:bookmarkStart w:id="37"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 GLUTOB having the lowest (0.06</w:t>
      </w:r>
      <w:r>
        <w:t xml:space="preserve"> </w:t>
      </w:r>
      <m:oMath>
        <m:r>
          <m:rPr>
            <m:sty m:val="p"/>
          </m:rPr>
          <m:t>±</m:t>
        </m:r>
      </m:oMath>
      <w:r>
        <w:t xml:space="preserve"> </w:t>
      </w:r>
      <w:r>
        <w:t xml:space="preserve">0.2 cm) and DIPTAL 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Drought sensitivity across all trees also showed negative sensitivities for both droughts with considerable variation around it (Fig 2b).</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4" name="Picture"/>
            <a:graphic>
              <a:graphicData uri="http://schemas.openxmlformats.org/drawingml/2006/picture">
                <pic:pic>
                  <pic:nvPicPr>
                    <pic:cNvPr descr="display/Fig3.png" id="35"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6">
        <w:r>
          <w:rPr>
            <w:rStyle w:val="Hyperlink"/>
          </w:rPr>
          <w:t xml:space="preserve">https://github.com/forestgeo/growth-precip-thailand/issues/12</w:t>
        </w:r>
      </w:hyperlink>
    </w:p>
    <w:bookmarkEnd w:id="37"/>
    <w:bookmarkStart w:id="38" w:name="variation-in-sensitivity-among-species"/>
    <w:p>
      <w:pPr>
        <w:pStyle w:val="Heading2"/>
      </w:pPr>
      <w:r>
        <w:t xml:space="preserve">Variation in sensitivity among species</w:t>
      </w:r>
    </w:p>
    <w:bookmarkEnd w:id="38"/>
    <w:bookmarkStart w:id="42"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40" name="Picture"/>
            <a:graphic>
              <a:graphicData uri="http://schemas.openxmlformats.org/drawingml/2006/picture">
                <pic:pic>
                  <pic:nvPicPr>
                    <pic:cNvPr descr="display/Fig4.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2"/>
    <w:bookmarkEnd w:id="43"/>
    <w:bookmarkStart w:id="44" w:name="discussion"/>
    <w:p>
      <w:pPr>
        <w:pStyle w:val="Heading1"/>
      </w:pPr>
      <w:r>
        <w:t xml:space="preserve">Discussion</w:t>
      </w:r>
    </w:p>
    <w:bookmarkEnd w:id="44"/>
    <w:bookmarkStart w:id="45"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45"/>
    <w:bookmarkStart w:id="46" w:name="competing-interests"/>
    <w:p>
      <w:pPr>
        <w:pStyle w:val="Heading1"/>
      </w:pPr>
      <w:r>
        <w:t xml:space="preserve">Competing interests</w:t>
      </w:r>
    </w:p>
    <w:bookmarkEnd w:id="46"/>
    <w:bookmarkStart w:id="47" w:name="author-contributions"/>
    <w:p>
      <w:pPr>
        <w:pStyle w:val="Heading1"/>
      </w:pPr>
      <w:r>
        <w:t xml:space="preserve">Author contributions</w:t>
      </w:r>
    </w:p>
    <w:bookmarkEnd w:id="47"/>
    <w:bookmarkStart w:id="48" w:name="data-availability"/>
    <w:p>
      <w:pPr>
        <w:pStyle w:val="Heading1"/>
      </w:pPr>
      <w:r>
        <w:t xml:space="preserve">Data availability</w:t>
      </w:r>
    </w:p>
    <w:p>
      <w:r>
        <w:br w:type="page"/>
      </w:r>
    </w:p>
    <w:bookmarkEnd w:id="48"/>
    <w:bookmarkStart w:id="88" w:name="references"/>
    <w:p>
      <w:pPr>
        <w:pStyle w:val="Heading1"/>
      </w:pPr>
      <w:r>
        <w:t xml:space="preserve">References</w:t>
      </w:r>
    </w:p>
    <w:bookmarkStart w:id="87" w:name="refs"/>
    <w:bookmarkStart w:id="50"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50"/>
    <w:bookmarkStart w:id="52"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2"/>
    <w:bookmarkStart w:id="54"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3">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4"/>
    <w:bookmarkStart w:id="56"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5">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6"/>
    <w:bookmarkStart w:id="58"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8"/>
    <w:bookmarkStart w:id="60"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60"/>
    <w:bookmarkStart w:id="62"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2"/>
    <w:bookmarkStart w:id="64"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3">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4"/>
    <w:bookmarkStart w:id="66"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6"/>
    <w:bookmarkStart w:id="67" w:name="ref-lindsay_whitebox_2016a"/>
    <w:p>
      <w:pPr>
        <w:pStyle w:val="Bibliography"/>
      </w:pPr>
      <w:r>
        <w:rPr>
          <w:bCs/>
          <w:b/>
          <w:bCs/>
          <w:b/>
        </w:rPr>
        <w:t xml:space="preserve">Lindsay JB</w:t>
      </w:r>
      <w:r>
        <w:t xml:space="preserve">.</w:t>
      </w:r>
      <w:r>
        <w:t xml:space="preserve"> </w:t>
      </w:r>
      <w:r>
        <w:rPr>
          <w:bCs/>
          <w:b/>
        </w:rPr>
        <w:t xml:space="preserve">2016</w:t>
      </w:r>
      <w:r>
        <w:t xml:space="preserve">.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w:t>
      </w:r>
      <w:r>
        <w:rPr>
          <w:bCs/>
          <w:b/>
        </w:rPr>
        <w:t xml:space="preserve">95</w:t>
      </w:r>
      <w:r>
        <w:t xml:space="preserve">: 75–84.</w:t>
      </w:r>
    </w:p>
    <w:bookmarkEnd w:id="67"/>
    <w:bookmarkStart w:id="69"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8">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9"/>
    <w:bookmarkStart w:id="71"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7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71"/>
    <w:bookmarkStart w:id="73"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3"/>
    <w:bookmarkStart w:id="74" w:name="ref-muller-landau_metal_2008"/>
    <w:p>
      <w:pPr>
        <w:pStyle w:val="Bibliography"/>
      </w:pPr>
      <w:r>
        <w:rPr>
          <w:bCs/>
          <w:b/>
          <w:bCs/>
          <w:b/>
        </w:rPr>
        <w:t xml:space="preserve">Muller-Landau HC</w:t>
      </w:r>
      <w:r>
        <w:t xml:space="preserve">.</w:t>
      </w:r>
      <w:r>
        <w:t xml:space="preserve"> </w:t>
      </w:r>
      <w:r>
        <w:rPr>
          <w:bCs/>
          <w:b/>
        </w:rPr>
        <w:t xml:space="preserve">2008</w:t>
      </w:r>
      <w:r>
        <w:t xml:space="preserve">. Metal</w:t>
      </w:r>
      <w:r>
        <w:t xml:space="preserve"> </w:t>
      </w:r>
      <w:r>
        <w:t xml:space="preserve">Band Dendrometer Protocol</w:t>
      </w:r>
      <w:r>
        <w:t xml:space="preserve">.</w:t>
      </w:r>
    </w:p>
    <w:bookmarkEnd w:id="74"/>
    <w:bookmarkStart w:id="76"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5">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6"/>
    <w:bookmarkStart w:id="77" w:name="ref-rcoreteam_language_2024"/>
    <w:p>
      <w:pPr>
        <w:pStyle w:val="Bibliography"/>
      </w:pPr>
      <w:r>
        <w:rPr>
          <w:bCs/>
          <w:b/>
          <w:bCs/>
          <w:b/>
        </w:rPr>
        <w:t xml:space="preserve">R Core Team</w:t>
      </w:r>
      <w:r>
        <w:t xml:space="preserve">.</w:t>
      </w:r>
      <w:r>
        <w:t xml:space="preserve"> </w:t>
      </w:r>
      <w:r>
        <w:rPr>
          <w:bCs/>
          <w:b/>
        </w:rPr>
        <w:t xml:space="preserve">2024</w:t>
      </w:r>
      <w:r>
        <w:t xml:space="preserve">.</w:t>
      </w:r>
      <w:r>
        <w:t xml:space="preserve"> </w:t>
      </w:r>
      <w:r>
        <w:rPr>
          <w:iCs/>
          <w:i/>
        </w:rPr>
        <w:t xml:space="preserve">R: A language and environment for statistical computing</w:t>
      </w:r>
      <w:r>
        <w:t xml:space="preserve">. Vienna, Austria: R Foundation for Statistical Computing.</w:t>
      </w:r>
    </w:p>
    <w:bookmarkEnd w:id="77"/>
    <w:bookmarkStart w:id="79"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9"/>
    <w:bookmarkStart w:id="81"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8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81"/>
    <w:bookmarkStart w:id="83"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8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83"/>
    <w:bookmarkStart w:id="85"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5"/>
    <w:bookmarkStart w:id="86" w:name="ref-wu_whitebox_2022"/>
    <w:p>
      <w:pPr>
        <w:pStyle w:val="Bibliography"/>
      </w:pPr>
      <w:r>
        <w:rPr>
          <w:bCs/>
          <w:b/>
          <w:bCs/>
          <w:b/>
        </w:rPr>
        <w:t xml:space="preserve">Wu Q</w:t>
      </w:r>
      <w:r>
        <w:rPr>
          <w:bCs/>
          <w:b/>
        </w:rPr>
        <w:t xml:space="preserve">,</w:t>
      </w:r>
      <w:r>
        <w:rPr>
          <w:bCs/>
          <w:b/>
        </w:rPr>
        <w:t xml:space="preserve"> </w:t>
      </w:r>
      <w:r>
        <w:rPr>
          <w:bCs/>
          <w:b/>
          <w:bCs/>
          <w:b/>
        </w:rPr>
        <w:t xml:space="preserve">Brown A</w:t>
      </w:r>
      <w:r>
        <w:t xml:space="preserve">.</w:t>
      </w:r>
      <w:r>
        <w:t xml:space="preserve"> </w:t>
      </w:r>
      <w:r>
        <w:rPr>
          <w:bCs/>
          <w:b/>
        </w:rPr>
        <w:t xml:space="preserve">2022</w:t>
      </w:r>
      <w:r>
        <w:t xml:space="preserve">.</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w:t>
      </w:r>
    </w:p>
    <w:bookmarkEnd w:id="86"/>
    <w:bookmarkEnd w:id="87"/>
    <w:bookmarkEnd w:id="8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2025-02-18T19:26:01Z</dcterms:created>
  <dcterms:modified xsi:type="dcterms:W3CDTF">2025-02-18T19:26:01Z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