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35.png" ContentType="image/png"/>
  <Override PartName="/word/media/rId4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 1:</w:t>
      </w:r>
      <w:r>
        <w:t xml:space="preserve"> </w:t>
      </w:r>
      <w:r>
        <w:t xml:space="preserve">Sensitivity of tree growth to drought in seasonally dry tropical forests using long-term dendrometer band measurements</w:t>
      </w:r>
    </w:p>
    <w:p>
      <w:pPr>
        <w:pStyle w:val="BodyText"/>
      </w:pPr>
      <w:r>
        <w:rPr>
          <w:bCs/>
          <w:b/>
        </w:rPr>
        <w:t xml:space="preserve">Title 2:</w:t>
      </w:r>
      <w:r>
        <w:t xml:space="preserve"> </w:t>
      </w:r>
      <w:r>
        <w:t xml:space="preserve">Contrasting effects of species and environmental predictors on tree growth sensitivity to different droughts in a seasonally dry tropical forest</w:t>
      </w:r>
    </w:p>
    <w:p>
      <w:pPr>
        <w:pStyle w:val="BodyText"/>
      </w:pPr>
      <w:r>
        <w:rPr>
          <w:bCs/>
          <w:b/>
        </w:rPr>
        <w:t xml:space="preserve">Title 3:</w:t>
      </w:r>
      <w:r>
        <w:t xml:space="preserve"> </w:t>
      </w:r>
      <w:r>
        <w:t xml:space="preserve">Diversity of species- and environment-mediated drought responses in a seasonally dry tropical forest</w:t>
      </w:r>
    </w:p>
    <w:p>
      <w:pPr>
        <w:pStyle w:val="BodyText"/>
      </w:pPr>
      <w:r>
        <w:rPr>
          <w:bCs/>
          <w:b/>
        </w:rPr>
        <w:t xml:space="preserve">Title 4:</w:t>
      </w:r>
      <w:r>
        <w:t xml:space="preserve"> </w:t>
      </w:r>
      <w:r>
        <w:t xml:space="preserve">Long-term dendrometer band measurements reveal diverse species- and environment-mediated drought responses in a seasonally dry tropical forest</w:t>
      </w:r>
    </w:p>
    <w:p>
      <w:pPr>
        <w:pStyle w:val="BodyText"/>
      </w:pPr>
      <w:r>
        <w:rPr>
          <w:bCs/>
          <w:b/>
        </w:rPr>
        <w:t xml:space="preserve">Title 5:</w:t>
      </w:r>
      <w:r>
        <w:t xml:space="preserve"> </w:t>
      </w:r>
      <w:r>
        <w:t xml:space="preserve">Deciduousness may exacerbate/worsen/amplify tree growth sensitivity during wet season droughts in seasonally dry tropical forests</w:t>
      </w:r>
    </w:p>
    <w:p>
      <w:pPr>
        <w:pStyle w:val="BodyText"/>
      </w:pPr>
      <w:r>
        <w:rPr>
          <w:bCs/>
          <w:b/>
        </w:rPr>
        <w:t xml:space="preserve">Title 6:</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br/>
      </w:r>
      <w:r>
        <w:rPr>
          <w:bCs/>
          <w:b/>
        </w:rPr>
        <w:t xml:space="preserve">Number of Tables:</w:t>
      </w:r>
      <w:r>
        <w:br/>
      </w:r>
      <w:r>
        <w:rPr>
          <w:bCs/>
          <w:b/>
        </w:rPr>
        <w:t xml:space="preserve">Number of Text boxes:</w:t>
      </w:r>
    </w:p>
    <w:p>
      <w:pPr>
        <w:pStyle w:val="BodyText"/>
      </w:pPr>
      <w:r>
        <w:rPr>
          <w:bCs/>
          <w:b/>
        </w:rPr>
        <w:t xml:space="preserve">Corresponding author address:</w:t>
      </w:r>
    </w:p>
    <w:bookmarkStart w:id="20" w:name="keywords"/>
    <w:p>
      <w:pPr>
        <w:pStyle w:val="Heading1"/>
      </w:pPr>
      <w:r>
        <w:t xml:space="preserve">Keywords</w:t>
      </w:r>
    </w:p>
    <w:bookmarkEnd w:id="20"/>
    <w:bookmarkStart w:id="21" w:name="statement-of-authorship"/>
    <w:p>
      <w:pPr>
        <w:pStyle w:val="Heading1"/>
      </w:pPr>
      <w:r>
        <w:t xml:space="preserve">Statement of Authorship</w:t>
      </w:r>
    </w:p>
    <w:bookmarkEnd w:id="21"/>
    <w:bookmarkStart w:id="22" w:name="data-accessibility-statement"/>
    <w:p>
      <w:pPr>
        <w:pStyle w:val="Heading1"/>
      </w:pPr>
      <w:r>
        <w:t xml:space="preserve">Data Accessibility Statement</w:t>
      </w:r>
    </w:p>
    <w:p>
      <w:r>
        <w:br w:type="page"/>
      </w:r>
    </w:p>
    <w:bookmarkEnd w:id="22"/>
    <w:bookmarkStart w:id="23" w:name="abstract-150-words"/>
    <w:p>
      <w:pPr>
        <w:pStyle w:val="Heading1"/>
      </w:pPr>
      <w:r>
        <w:t xml:space="preserve">Abstract (150 words)</w:t>
      </w:r>
    </w:p>
    <w:p>
      <w:pPr>
        <w:pStyle w:val="FirstParagraph"/>
      </w:pPr>
      <w:r>
        <w:t xml:space="preserve">Tropical tree woody growth has long-lasting impacts on the terrestrial carbon pool, but how climate anomalies like drought might impact the growth of tropical tree growth is poorly understood.</w:t>
      </w:r>
      <w:r>
        <w:t xml:space="preserve"> </w:t>
      </w:r>
      <w:r>
        <w:t xml:space="preserve">In seasonally dry tropical forests with strong seasonality, species evolutionary adaptations to hot dry seasons, like dry season deciduousness, or species distributions in relation to water availability might buffer growth sensitivity to drought.</w:t>
      </w:r>
      <w:r>
        <w:t xml:space="preserve"> </w:t>
      </w:r>
      <w:r>
        <w:t xml:space="preserve"> </w:t>
      </w:r>
      <w:r>
        <w:t xml:space="preserve">We used a unique data record - manual dendrometer band measurements over 15 years on 1820 trees across 30 species in a seasonally dry tropical forest in</w:t>
      </w:r>
      <w:r>
        <w:t xml:space="preserve"> </w:t>
      </w:r>
      <w:r>
        <w:t xml:space="preserve">Thailand, along with species and individual characteristics, using Bayesian regressions in a causal modelling framework to predict the sensitivity of tree growth to drought in two ENSO drought events with different characteristics - a wet-season drought and a dry season drought.</w:t>
      </w:r>
      <w:r>
        <w:t xml:space="preserve"> </w:t>
      </w:r>
      <w:r>
        <w:t xml:space="preserve">We report a wide range of drought sensitivities across species and stems within a drought event, as well as contrasting responses across these two droughts.</w:t>
      </w:r>
      <w:r>
        <w:t xml:space="preserve"> </w:t>
      </w:r>
      <w:r>
        <w:t xml:space="preserve">Deciduous species were more sensitive than evergreen species in the wet-season drought, with this difference worsened in wetter microclimates.</w:t>
      </w:r>
      <w:r>
        <w:t xml:space="preserve"> </w:t>
      </w:r>
      <w:r>
        <w:t xml:space="preserve">Crown exposure was associated with stronger negative sensitivities in the dry season drought.</w:t>
      </w:r>
      <w:r>
        <w:t xml:space="preserve"> </w:t>
      </w:r>
      <w:r>
        <w:t xml:space="preserve">With observed regime shifts in precipitation across the global tropics and increasing incidence of climate anomalies, trees within seasonally dry tropical forests might experience divergent responses.</w:t>
      </w:r>
    </w:p>
    <w:p>
      <w:r>
        <w:br w:type="page"/>
      </w:r>
    </w:p>
    <w:bookmarkEnd w:id="23"/>
    <w:bookmarkStart w:id="28" w:name="introduction"/>
    <w:p>
      <w:pPr>
        <w:pStyle w:val="Heading1"/>
      </w:pPr>
      <w:r>
        <w:t xml:space="preserve">Introduction</w:t>
      </w:r>
    </w:p>
    <w:p>
      <w:pPr>
        <w:pStyle w:val="CaptionedFigure"/>
      </w:pPr>
      <w:r>
        <w:drawing>
          <wp:inline>
            <wp:extent cx="5943600" cy="2796988"/>
            <wp:effectExtent b="0" l="0" r="0" t="0"/>
            <wp:docPr descr="Figure 1. Climatic characteristics of drought years and average years in Huai Kha Khaeng ForestGEO plot. For comments - https://github.com/forestgeo/growth-precip-thailand/issues/10" title="" id="25" name="Picture"/>
            <a:graphic>
              <a:graphicData uri="http://schemas.openxmlformats.org/drawingml/2006/picture">
                <pic:pic>
                  <pic:nvPicPr>
                    <pic:cNvPr descr="display/Fig1.png" id="26" name="Picture"/>
                    <pic:cNvPicPr>
                      <a:picLocks noChangeArrowheads="1" noChangeAspect="1"/>
                    </pic:cNvPicPr>
                  </pic:nvPicPr>
                  <pic:blipFill>
                    <a:blip r:embed="rId24"/>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7">
        <w:r>
          <w:rPr>
            <w:rStyle w:val="Hyperlink"/>
          </w:rPr>
          <w:t xml:space="preserve">https://github.com/forestgeo/growth-precip-thailand/issues/10</w:t>
        </w:r>
      </w:hyperlink>
    </w:p>
    <w:p>
      <w:pPr>
        <w:pStyle w:val="BodyText"/>
      </w:pPr>
      <w:r>
        <w:t xml:space="preserve">Here we use two known ENSO droughts, one in the dry season and another in the wet season, within a 14-year record of dendrometer band measurements in a seasonally dry forest in Thailand to test drivers of variation in the sensitivity of tropical tree growth to drought.</w:t>
      </w:r>
      <w:r>
        <w:t xml:space="preserve"> </w:t>
      </w:r>
      <w:r>
        <w:t xml:space="preserve"> </w:t>
      </w:r>
      <w:r>
        <w:t xml:space="preserve">We ask: i) How much do species vary in drought sensitivity of tree growth? What drives this variation ii) What drives variation among individuals in the sensitivity of growth to drought?</w:t>
      </w:r>
      <w:r>
        <w:t xml:space="preserve"> </w:t>
      </w:r>
      <w:r>
        <w:t xml:space="preserve">We hypothesise that species and individuals have different sensitivities to wet and dry season droughts, based on their traits and microenvironments.</w:t>
      </w:r>
      <w:r>
        <w:t xml:space="preserve"> </w:t>
      </w:r>
      <w:r>
        <w:t xml:space="preserve">Specifically, we hypothesise that i) species growth sensitivities to wet and dry season droughts are influenced by deciduousness; deciduous species are negatively affected by wet season droughts because of shorter growing seasons.</w:t>
      </w:r>
      <w:r>
        <w:t xml:space="preserve"> </w:t>
      </w:r>
      <w:r>
        <w:t xml:space="preserve">ii) the influence of drivers on drought sensitivity are distinct in wet and dry season droughts; canopy exposure could have stronger influence during dry season droughts while water availability has a stronger influence during wet season droughts.</w:t>
      </w:r>
    </w:p>
    <w:bookmarkEnd w:id="28"/>
    <w:bookmarkStart w:id="33"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0" name="Picture"/>
            <a:graphic>
              <a:graphicData uri="http://schemas.openxmlformats.org/drawingml/2006/picture">
                <pic:pic>
                  <pic:nvPicPr>
                    <pic:cNvPr descr="display/Fig2.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2">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3"/>
    <w:bookmarkStart w:id="50" w:name="results"/>
    <w:p>
      <w:pPr>
        <w:pStyle w:val="Heading1"/>
      </w:pPr>
      <w:r>
        <w:t xml:space="preserve">Results</w:t>
      </w:r>
    </w:p>
    <w:bookmarkStart w:id="34"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4"/>
    <w:bookmarkStart w:id="39" w:name="X80e9b84f5c87eeeda0710651c8cd1df210dcdf8"/>
    <w:p>
      <w:pPr>
        <w:pStyle w:val="Heading2"/>
      </w:pPr>
      <w:r>
        <w:t xml:space="preserve">Interannual growth variation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6" name="Picture"/>
            <a:graphic>
              <a:graphicData uri="http://schemas.openxmlformats.org/drawingml/2006/picture">
                <pic:pic>
                  <pic:nvPicPr>
                    <pic:cNvPr descr="display/Fig3.png" id="37" name="Picture"/>
                    <pic:cNvPicPr>
                      <a:picLocks noChangeArrowheads="1" noChangeAspect="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8">
        <w:r>
          <w:rPr>
            <w:rStyle w:val="Hyperlink"/>
          </w:rPr>
          <w:t xml:space="preserve">https://github.com/forestgeo/growth-precip-thailand/issues/12</w:t>
        </w:r>
      </w:hyperlink>
    </w:p>
    <w:bookmarkEnd w:id="39"/>
    <w:bookmarkStart w:id="44" w:name="variation-in-sensitivity-among-species"/>
    <w:p>
      <w:pPr>
        <w:pStyle w:val="Heading2"/>
      </w:pPr>
      <w:r>
        <w:t xml:space="preserve">Variation in sensitivity among species</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BodyText"/>
      </w:pPr>
      <w:r>
        <w:t xml:space="preserve">The effect of TWI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1" name="Picture"/>
            <a:graphic>
              <a:graphicData uri="http://schemas.openxmlformats.org/drawingml/2006/picture">
                <pic:pic>
                  <pic:nvPicPr>
                    <pic:cNvPr descr="display/Fig4.png" id="42" name="Picture"/>
                    <pic:cNvPicPr>
                      <a:picLocks noChangeArrowheads="1" noChangeAspect="1"/>
                    </pic:cNvPicPr>
                  </pic:nvPicPr>
                  <pic:blipFill>
                    <a:blip r:embed="rId4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3">
        <w:r>
          <w:rPr>
            <w:rStyle w:val="Hyperlink"/>
          </w:rPr>
          <w:t xml:space="preserve">https://github.com/forestgeo/growth-precip-thailand/issues/13</w:t>
        </w:r>
      </w:hyperlink>
    </w:p>
    <w:bookmarkEnd w:id="44"/>
    <w:bookmarkStart w:id="49" w:name="variation-among-individuals"/>
    <w:p>
      <w:pPr>
        <w:pStyle w:val="Heading2"/>
      </w:pPr>
      <w:r>
        <w:t xml:space="preserve">Variation among individuals</w:t>
      </w:r>
    </w:p>
    <w:p>
      <w:pPr>
        <w:pStyle w:val="FirstParagraph"/>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6" name="Picture"/>
            <a:graphic>
              <a:graphicData uri="http://schemas.openxmlformats.org/drawingml/2006/picture">
                <pic:pic>
                  <pic:nvPicPr>
                    <pic:cNvPr descr="display/Fig5.png" id="47"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8">
        <w:r>
          <w:rPr>
            <w:rStyle w:val="Hyperlink"/>
          </w:rPr>
          <w:t xml:space="preserve">https://github.com/forestgeo/growth-precip-thailand/issues/14</w:t>
        </w:r>
      </w:hyperlink>
    </w:p>
    <w:bookmarkEnd w:id="49"/>
    <w:bookmarkEnd w:id="50"/>
    <w:bookmarkStart w:id="51" w:name="discussion"/>
    <w:p>
      <w:pPr>
        <w:pStyle w:val="Heading1"/>
      </w:pPr>
      <w:r>
        <w:t xml:space="preserve">Discussion</w:t>
      </w:r>
    </w:p>
    <w:bookmarkEnd w:id="51"/>
    <w:bookmarkStart w:id="52" w:name="acknowledgements"/>
    <w:p>
      <w:pPr>
        <w:pStyle w:val="Heading1"/>
      </w:pPr>
      <w:r>
        <w:t xml:space="preserve">Acknowledgements</w:t>
      </w:r>
    </w:p>
    <w:p>
      <w:pPr>
        <w:pStyle w:val="FirstParagraph"/>
      </w:pPr>
      <w:r>
        <w:t xml:space="preserve">Huai Kha Khaeng forest monitoring team.</w:t>
      </w:r>
      <w:r>
        <w:br/>
      </w:r>
      <w:r>
        <w:t xml:space="preserve">Ekaphan Kraichak, Kanisorn Chowtiwuttakorn.</w:t>
      </w:r>
      <w:r>
        <w:br/>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2"/>
    <w:bookmarkStart w:id="53" w:name="competing-interests"/>
    <w:p>
      <w:pPr>
        <w:pStyle w:val="Heading1"/>
      </w:pPr>
      <w:r>
        <w:t xml:space="preserve">Competing interests</w:t>
      </w:r>
    </w:p>
    <w:bookmarkEnd w:id="53"/>
    <w:bookmarkStart w:id="54" w:name="author-contributions"/>
    <w:p>
      <w:pPr>
        <w:pStyle w:val="Heading1"/>
      </w:pPr>
      <w:r>
        <w:t xml:space="preserve">Author contributions</w:t>
      </w:r>
    </w:p>
    <w:bookmarkEnd w:id="54"/>
    <w:bookmarkStart w:id="55" w:name="data-availability"/>
    <w:p>
      <w:pPr>
        <w:pStyle w:val="Heading1"/>
      </w:pPr>
      <w:r>
        <w:t xml:space="preserve">Data availability</w:t>
      </w:r>
    </w:p>
    <w:p>
      <w:r>
        <w:br w:type="page"/>
      </w:r>
    </w:p>
    <w:bookmarkEnd w:id="55"/>
    <w:bookmarkStart w:id="67" w:name="references"/>
    <w:p>
      <w:pPr>
        <w:pStyle w:val="Heading1"/>
      </w:pPr>
      <w:r>
        <w:t xml:space="preserve">References</w:t>
      </w:r>
    </w:p>
    <w:bookmarkStart w:id="66" w:name="refs"/>
    <w:bookmarkStart w:id="57"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6">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7"/>
    <w:bookmarkStart w:id="58"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58"/>
    <w:bookmarkStart w:id="59" w:name="ref-muller-landau_metal_2008"/>
    <w:p>
      <w:pPr>
        <w:pStyle w:val="Bibliography"/>
      </w:pPr>
      <w:r>
        <w:t xml:space="preserve">Muller-Landau, H.C. (2008). Metal</w:t>
      </w:r>
      <w:r>
        <w:t xml:space="preserve"> </w:t>
      </w:r>
      <w:r>
        <w:t xml:space="preserve">Band Dendrometer Protocol</w:t>
      </w:r>
      <w:r>
        <w:t xml:space="preserve">.</w:t>
      </w:r>
    </w:p>
    <w:bookmarkEnd w:id="59"/>
    <w:bookmarkStart w:id="60"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60"/>
    <w:bookmarkStart w:id="62" w:name="ref-vlam_temperature_2014"/>
    <w:p>
      <w:pPr>
        <w:pStyle w:val="Bibliography"/>
      </w:pPr>
      <w:r>
        <w:t xml:space="preserve">Vlam, M., Baker, P.J., Bunyavejchewin, S. &amp; Zuidema, P.A. (2014).</w:t>
      </w:r>
      <w:r>
        <w:t xml:space="preserve"> </w:t>
      </w:r>
      <w:hyperlink r:id="rId6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62"/>
    <w:bookmarkStart w:id="64" w:name="ref-williams_deciduousness_2008"/>
    <w:p>
      <w:pPr>
        <w:pStyle w:val="Bibliography"/>
      </w:pPr>
      <w:r>
        <w:t xml:space="preserve">Williams, L.J., Bunyavejchewin, S. &amp; Baker, P.J. (2008).</w:t>
      </w:r>
      <w:r>
        <w:t xml:space="preserve"> </w:t>
      </w:r>
      <w:hyperlink r:id="rId6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64"/>
    <w:bookmarkStart w:id="6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65"/>
    <w:bookmarkEnd w:id="66"/>
    <w:bookmarkEnd w:id="67"/>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63" Target="https://doi.org/10.1007/s00442-007-0938-1" TargetMode="External" /><Relationship Type="http://schemas.openxmlformats.org/officeDocument/2006/relationships/hyperlink" Id="rId61" Target="https://doi.org/10.1007/s00442-013-2846-x" TargetMode="External" /><Relationship Type="http://schemas.openxmlformats.org/officeDocument/2006/relationships/hyperlink" Id="rId56" Target="https://doi.org/10.1111/gcb.12712" TargetMode="External" /><Relationship Type="http://schemas.openxmlformats.org/officeDocument/2006/relationships/hyperlink" Id="rId27" Target="https://github.com/forestgeo/growth-precip-thailand/issues/10" TargetMode="External" /><Relationship Type="http://schemas.openxmlformats.org/officeDocument/2006/relationships/hyperlink" Id="rId32" Target="https://github.com/forestgeo/growth-precip-thailand/issues/11" TargetMode="External" /><Relationship Type="http://schemas.openxmlformats.org/officeDocument/2006/relationships/hyperlink" Id="rId38" Target="https://github.com/forestgeo/growth-precip-thailand/issues/12" TargetMode="External" /><Relationship Type="http://schemas.openxmlformats.org/officeDocument/2006/relationships/hyperlink" Id="rId43" Target="https://github.com/forestgeo/growth-precip-thailand/issues/13" TargetMode="External" /><Relationship Type="http://schemas.openxmlformats.org/officeDocument/2006/relationships/hyperlink" Id="rId48" Target="https://github.com/forestgeo/growth-precip-thailand/issues/14"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07/s00442-007-0938-1" TargetMode="External" /><Relationship Type="http://schemas.openxmlformats.org/officeDocument/2006/relationships/hyperlink" Id="rId61" Target="https://doi.org/10.1007/s00442-013-2846-x" TargetMode="External" /><Relationship Type="http://schemas.openxmlformats.org/officeDocument/2006/relationships/hyperlink" Id="rId56" Target="https://doi.org/10.1111/gcb.12712" TargetMode="External" /><Relationship Type="http://schemas.openxmlformats.org/officeDocument/2006/relationships/hyperlink" Id="rId27" Target="https://github.com/forestgeo/growth-precip-thailand/issues/10" TargetMode="External" /><Relationship Type="http://schemas.openxmlformats.org/officeDocument/2006/relationships/hyperlink" Id="rId32" Target="https://github.com/forestgeo/growth-precip-thailand/issues/11" TargetMode="External" /><Relationship Type="http://schemas.openxmlformats.org/officeDocument/2006/relationships/hyperlink" Id="rId38" Target="https://github.com/forestgeo/growth-precip-thailand/issues/12" TargetMode="External" /><Relationship Type="http://schemas.openxmlformats.org/officeDocument/2006/relationships/hyperlink" Id="rId43" Target="https://github.com/forestgeo/growth-precip-thailand/issues/13" TargetMode="External" /><Relationship Type="http://schemas.openxmlformats.org/officeDocument/2006/relationships/hyperlink" Id="rId48" Target="https://github.com/forestgeo/growth-precip-thailand/issues/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2025-03-04T16:00:04Z</dcterms:created>
  <dcterms:modified xsi:type="dcterms:W3CDTF">2025-03-04T16:00:04Z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