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5054</w:t>
      </w:r>
      <w:r>
        <w:br/>
      </w:r>
      <w:r>
        <w:rPr>
          <w:bCs/>
          <w:b/>
        </w:rPr>
        <w:t xml:space="preserve">Number of References:</w:t>
      </w:r>
      <w:r>
        <w:t xml:space="preserve"> </w:t>
      </w:r>
      <w:r>
        <w:t xml:space="preserve">58</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led the development of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Data and code required to reproduce the results and figures are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species-specific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biological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 globally</w:t>
      </w:r>
      <w:r>
        <w:t xml:space="preserve"> </w:t>
      </w:r>
      <w:r>
        <w:t xml:space="preserve">(IPCC 2023)</w:t>
      </w:r>
      <w:r>
        <w:t xml:space="preserve">, affecting the demography, diversity, and carbon (C) cycling of forests.</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limited</w:t>
      </w:r>
      <w:r>
        <w:t xml:space="preserve"> </w:t>
      </w:r>
      <w:r>
        <w:t xml:space="preserve">(Groenendijk</w:t>
      </w:r>
      <w:r>
        <w:t xml:space="preserve"> </w:t>
      </w:r>
      <w:r>
        <w:rPr>
          <w:iCs/>
          <w:i/>
        </w:rPr>
        <w:t xml:space="preserve">et al.</w:t>
      </w:r>
      <w:r>
        <w:t xml:space="preserve"> </w:t>
      </w:r>
      <w:r>
        <w:t xml:space="preserve">2025; 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If these factors act independently, tree drought responses may be conserved, and linearly predictable; i.e., species with low sensitivity to past droughts would have low sensitivity in any microhabitat and any drought.</w:t>
      </w:r>
      <w:r>
        <w:t xml:space="preserve"> </w:t>
      </w:r>
      <w:r>
        <w:t xml:space="preserve">Alternatively, if these factors interact, then species and individuals that exhibit resistance to one drought may prove vulnerable to a drought with different characteristics.</w:t>
      </w:r>
      <w:r>
        <w:t xml:space="preserve"> </w:t>
      </w:r>
      <w:r>
        <w:t xml:space="preserve">These complex and diverse drought responses may buffer ecosystem function even as intense droughts become more common and may act as a mechanism for maintaining species diversity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can be characterized based on the timing, severity, or duration of climatic anomalies in a variety of meteorological variables</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 </w:t>
      </w:r>
      <w:r>
        <w:t xml:space="preserve">This difficulty in definition, and subsequent predictions of tree growth responses, is pronounced in seasonal forests with diverse adaptive strategies that have evolved under consistent low-rainfall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strong dry seasons, tree drought responses may depend less on the climatic extent of the drought and more on drought timing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For example, interannual variation in tropical tree growth</w:t>
      </w:r>
      <w:r>
        <w:t xml:space="preserve"> </w:t>
      </w:r>
      <w:r>
        <w:t xml:space="preserve">has been shown to be most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w:t>
      </w:r>
      <w:r>
        <w:t xml:space="preserve"> </w:t>
      </w:r>
      <w:r>
        <w:t xml:space="preserve">However, these analyses represent a limited set of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Species adaptations to drought vary widely, often leading to classification of tree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or</w:t>
      </w:r>
      <w:r>
        <w:t xml:space="preserve"> </w:t>
      </w:r>
      <w:r>
        <w:t xml:space="preserve">“</w:t>
      </w:r>
      <w:r>
        <w:t xml:space="preserve">drought avoidant</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 </w:t>
      </w:r>
      <w:r>
        <w:t xml:space="preserve">In tropical seasonal forests, many tree species vary in their hydraulic strategies along a continuum from drought tolerant species having high hydraulic safety, low hydraulic efficiency and high tissue investment to drought</w:t>
      </w:r>
      <w:r>
        <w:t xml:space="preserve"> </w:t>
      </w:r>
      <w:r>
        <w:t xml:space="preserve">“</w:t>
      </w:r>
      <w:r>
        <w:t xml:space="preserve">avoidant</w:t>
      </w:r>
      <w:r>
        <w:t xml:space="preserve">”</w:t>
      </w:r>
      <w:r>
        <w:t xml:space="preserve"> </w:t>
      </w:r>
      <w:r>
        <w:t xml:space="preserve">species with high hydraulic efficiency, low hydraulic safety and low investment to tissues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Traits associated with hydraulic safety and drought tolerance include deep roots (to access deeper water in the dry season), more negative leaf water potential at turgor loss point (</w:t>
      </w:r>
      <m:oMath>
        <m:sSub>
          <m:e>
            <m:r>
              <m:t>π</m:t>
            </m:r>
          </m:e>
          <m:sub>
            <m:r>
              <m:t>t</m:t>
            </m:r>
            <m:r>
              <m:t>l</m:t>
            </m:r>
            <m:r>
              <m:t>p</m:t>
            </m:r>
          </m:sub>
        </m:sSub>
      </m:oMath>
      <w:r>
        <w:t xml:space="preserve">, to maintain gas exchange and photosynthesis under hot and dry conditions), and small vessels (to reduce embolism risk)</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Under drought conditions, these strategies may confer more or less drought resistance depending on the specific trait combinations and drought characteristics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shape individual tree experience of, and response to, drought.</w:t>
      </w:r>
      <w:r>
        <w:t xml:space="preserve"> </w:t>
      </w:r>
      <w:r>
        <w:t xml:space="preserve">Although habitats with relatively moist soils (e.g., low-lying topography) are more hospitable during drought, trees in these microenvironments may be less drought-adapted</w:t>
      </w:r>
      <w:r>
        <w:t xml:space="preserve"> </w:t>
      </w:r>
      <w:r>
        <w:t xml:space="preserve">(e.g., due to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and thus more vulnerable under severe droughts.</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as with wet-adapted trees,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Although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systematic variation in leaf traits differences along the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 in Thailand</w:t>
      </w:r>
      <w:r>
        <w:t xml:space="preserve">(Bunyavejchewin</w:t>
      </w:r>
      <w:r>
        <w:t xml:space="preserve"> </w:t>
      </w:r>
      <w:r>
        <w:rPr>
          <w:iCs/>
          <w:i/>
        </w:rPr>
        <w:t xml:space="preserve">et al.</w:t>
      </w:r>
      <w:r>
        <w:t xml:space="preserve"> </w:t>
      </w:r>
      <w:r>
        <w:t xml:space="preserve">2011)</w:t>
      </w:r>
      <w:r>
        <w:t xml:space="preserve">.</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 and to enable casual interpretation of estimated parameters.</w:t>
      </w:r>
      <w:r>
        <w:t xml:space="preserve"> </w:t>
      </w:r>
      <w:r>
        <w:t xml:space="preserve">This analysis demonstrates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Most selected trees were part of a size-stratified and spatially-stratified random sample, with additional trees chosen to fill out sample sizes for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We used concurrent tape measurements to flag likely errors in the dendrometer dataset</w:t>
      </w:r>
      <w:r>
        <w:t xml:space="preserve"> </w:t>
      </w:r>
      <w:r>
        <w:t xml:space="preserve">(Diameter tape measurements alone are not precise enough for calculating drought sensitivity, as their measurement precision is ~2 mm compared with median annual growth in HKK of ~1.4 mm).</w:t>
      </w:r>
      <w:r>
        <w:t xml:space="preserve"> </w:t>
      </w:r>
      <w:r>
        <w:t xml:space="preserve"> </w:t>
      </w:r>
      <w:r>
        <w:t xml:space="preserve"> </w:t>
      </w:r>
      <w:r>
        <w:t xml:space="preserve">We also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30-day rolling means of precipitation, number of dry days (precipitation = 0), VPD and maximum temperature across the whole timeseries.</w:t>
      </w:r>
      <w:r>
        <w:t xml:space="preserve"> </w:t>
      </w:r>
      <w:r>
        <w:t xml:space="preserve">Finally, for each day in the drought years, we calculated anomalies of these rolling means from their long-term averages for the same day of year</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bar>
                <m:barPr>
                  <m:pos m:val="top"/>
                </m:barPr>
                <m:e>
                  <m:r>
                    <m:t>r</m:t>
                  </m:r>
                  <m:r>
                    <m:t>o</m:t>
                  </m:r>
                  <m:r>
                    <m:t>l</m:t>
                  </m:r>
                  <m:r>
                    <m:t>l</m:t>
                  </m:r>
                  <m:r>
                    <m:t>i</m:t>
                  </m:r>
                  <m:r>
                    <m:t>n</m:t>
                  </m:r>
                  <m:r>
                    <m:t>g</m:t>
                  </m:r>
                  <m:r>
                    <m:rPr>
                      <m:sty m:val="p"/>
                    </m:rPr>
                    <m:t>.</m:t>
                  </m:r>
                  <m:r>
                    <m:t>m</m:t>
                  </m:r>
                  <m:r>
                    <m:t>e</m:t>
                  </m:r>
                  <m:r>
                    <m:t>a</m:t>
                  </m:r>
                  <m:sSub>
                    <m:e>
                      <m:r>
                        <m:t>n</m:t>
                      </m:r>
                    </m:e>
                    <m:sub>
                      <m:r>
                        <m:t>d</m:t>
                      </m:r>
                      <m:r>
                        <m:t>a</m:t>
                      </m:r>
                      <m:r>
                        <m:t>y</m:t>
                      </m:r>
                    </m:sub>
                  </m:sSub>
                </m:e>
              </m:bar>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bar>
          <m:barPr>
            <m:pos m:val="top"/>
          </m:barPr>
          <m:e>
            <m:r>
              <m:t>a</m:t>
            </m:r>
            <m:r>
              <m:rPr>
                <m:sty m:val="p"/>
              </m:rPr>
              <m:t>.</m:t>
            </m:r>
            <m:r>
              <m:t>i</m:t>
            </m:r>
            <m:r>
              <m:t>n</m:t>
            </m:r>
            <m:sSub>
              <m:e>
                <m:r>
                  <m:t>c</m:t>
                </m:r>
              </m:e>
              <m:sub>
                <m:r>
                  <m:t>i</m:t>
                </m:r>
              </m:sub>
            </m:sSub>
          </m:e>
        </m:bar>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bar>
                <m:barPr>
                  <m:pos m:val="top"/>
                </m:barPr>
                <m:e>
                  <m:r>
                    <m:t>a</m:t>
                  </m:r>
                  <m:r>
                    <m:rPr>
                      <m:sty m:val="p"/>
                    </m:rPr>
                    <m:t>.</m:t>
                  </m:r>
                  <m:r>
                    <m:t>i</m:t>
                  </m:r>
                  <m:r>
                    <m:t>n</m:t>
                  </m:r>
                  <m:sSub>
                    <m:e>
                      <m:r>
                        <m:t>c</m:t>
                      </m:r>
                    </m:e>
                    <m:sub>
                      <m:r>
                        <m:t>i</m:t>
                      </m:r>
                    </m:sub>
                  </m:sSub>
                </m:e>
              </m:bar>
            </m:num>
            <m:den>
              <m:bar>
                <m:barPr>
                  <m:pos m:val="top"/>
                </m:barPr>
                <m:e>
                  <m:r>
                    <m:t>a</m:t>
                  </m:r>
                  <m:r>
                    <m:rPr>
                      <m:sty m:val="p"/>
                    </m:rPr>
                    <m:t>.</m:t>
                  </m:r>
                  <m:r>
                    <m:t>i</m:t>
                  </m:r>
                  <m:r>
                    <m:t>n</m:t>
                  </m:r>
                  <m:sSub>
                    <m:e>
                      <m:r>
                        <m:t>c</m:t>
                      </m:r>
                    </m:e>
                    <m:sub>
                      <m:r>
                        <m:t>i</m:t>
                      </m:r>
                    </m:sub>
                  </m:sSub>
                </m:e>
              </m:bar>
            </m:den>
          </m:f>
        </m:oMath>
      </m:oMathPara>
    </w:p>
    <w:p>
      <w:pPr>
        <w:pStyle w:val="FirstParagraph"/>
      </w:pPr>
      <w:r>
        <w:t xml:space="preserve">By scaling the increment deviation to the mean annual growth of each tree, this metric allows us to compare across slow and fast-growing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the omission of upslope area beyond the plot means values are underestimates and variably so for different locations.</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we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r>
        <w:t xml:space="preserve">As an alternate approach, we applied backdoor criteria to the causal model and tested the effects of DBH, CII and TWI separately.</w:t>
      </w:r>
      <w:r>
        <w:t xml:space="preserve"> </w:t>
      </w:r>
      <w:r>
        <w:t xml:space="preserve">Details and results are reported in the Supplementary Material.</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The three climatically distinct droughts can be characterised as follows: 2010 was a moderate, dry-season drought, 2015 a severe wet-season drought and 2020, a moderate drought during the dry-to-wet transition (Figs 1, S2, S3).</w:t>
      </w:r>
    </w:p>
    <w:p>
      <w:pPr>
        <w:pStyle w:val="BodyText"/>
      </w:pPr>
      <w:r>
        <w:t xml:space="preserve">Drought years were associated with lower plot-level growth and negative tree-level sensitivities, with the strongest negative response in 2015 (Fig 2).</w:t>
      </w:r>
      <w:r>
        <w:t xml:space="preserve"> </w:t>
      </w:r>
      <w:r>
        <w:t xml:space="preserve">Median growth rate across all trees and years was 1.73 mm (range -14.2, 29.32).</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-0.55</w:t>
      </w:r>
      <w:r>
        <w:t xml:space="preserve"> </w:t>
      </w:r>
      <w:r>
        <w:t xml:space="preserve">and -0.3</w:t>
      </w:r>
      <w:r>
        <w:t xml:space="preserve"> </w:t>
      </w:r>
      <w:r>
        <w:t xml:space="preserve">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 (</w:t>
      </w:r>
      <w:r>
        <w:rPr>
          <w:iCs/>
          <w:i/>
        </w:rPr>
        <w:t xml:space="preserve">i</w:t>
      </w:r>
      <w:r>
        <w:t xml:space="preserve">) (Fig S6, Fig S7).</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w:r>
        <w:t xml:space="preserve">mm) and</w:t>
      </w:r>
      <w:r>
        <w:t xml:space="preserve"> </w:t>
      </w:r>
      <w:r>
        <w:rPr>
          <w:iCs/>
          <w:i/>
        </w:rPr>
        <w:t xml:space="preserve">Dipterocarpus alatus</w:t>
      </w:r>
      <w:r>
        <w:t xml:space="preserve"> </w:t>
      </w:r>
      <w:r>
        <w:t xml:space="preserve">the highest (3.58</w:t>
      </w:r>
      <w:r>
        <w:t xml:space="preserve"> </w:t>
      </w:r>
      <w:r>
        <w:t xml:space="preserve">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S6).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 (</w:t>
      </w:r>
      <w:r>
        <w:rPr>
          <w:iCs/>
          <w:i/>
        </w:rPr>
        <w:t xml:space="preserve">ii</w:t>
      </w:r>
      <w:r>
        <w:t xml:space="preserve">).</w:t>
      </w:r>
      <w:r>
        <w:t xml:space="preserve"> </w:t>
      </w:r>
      <w:r>
        <w:t xml:space="preserve">Deciduous species were more drought sensitive than evergreen species in 2015</w:t>
      </w:r>
      <w:r>
        <w:t xml:space="preserve"> </w:t>
      </w:r>
      <w:r>
        <w:t xml:space="preserve">, less sensitive in 2020</w:t>
      </w:r>
      <w:r>
        <w:t xml:space="preserve"> </w:t>
      </w:r>
      <w:r>
        <w:t xml:space="preserve">, whereas there was no difference in 2010(Fig 3a).</w:t>
      </w:r>
      <w:r>
        <w:t xml:space="preserve"> </w:t>
      </w:r>
      <w:r>
        <w:t xml:space="preserve"> </w:t>
      </w:r>
      <w:r>
        <w:t xml:space="preserve">Models of all trees with Topographic Wetness Index (TWI) and deciduousness as predictors showed that the conditional effect of deciduousness on sensitivity (controlling for topographic wetness) was significantly negative in 2015 (-0.08; 90% CI -0.12,-0.04), significantly positive in 2020 (0.19; 90% CI 0.15,0.23), and non-existent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 (</w:t>
      </w:r>
      <w:r>
        <w:rPr>
          <w:iCs/>
          <w:i/>
        </w:rPr>
        <w:t xml:space="preserve">iii</w:t>
      </w:r>
      <w:r>
        <w:t xml:space="preserve">).</w:t>
      </w:r>
      <w:r>
        <w:t xml:space="preserve"> </w:t>
      </w:r>
      <w:r>
        <w:t xml:space="preserve">Across all trees, the model with wetness and deciduousness showed that TWI had a positive effect on drought sensitivity in 2015 (median effect =0.05, 90% CI 0.01, 0.08) and 2020 (median effect =0.07, 90% CI 0.02, 0.11), meaning that wetter areas showed less negative or more positive responses to drought, but no effect in 2010 (median effect =0, 90% CI -0.04, 0.03).</w:t>
      </w:r>
      <w:r>
        <w:t xml:space="preserve"> </w:t>
      </w:r>
      <w:r>
        <w:t xml:space="preserve">The interaction between wetness and deciduousness was significantly negative in 2015 (median effect =-0.02, 90% CI -0.03, 0) but was not significant in 2010 (median effect =0, 90% CI -0.01, 0.02) or 2020, (median effect =-0.01, 90% CI -0.03, 0.01), meaning that</w:t>
      </w:r>
      <w:r>
        <w:t xml:space="preserve"> </w:t>
      </w:r>
      <w:r>
        <w:t xml:space="preserve"> </w:t>
      </w:r>
      <w:r>
        <w:t xml:space="preserve">the divergent sensitivities of deciduous and evergreen trees in 2015 and 2020 were more pronounced in wetter and drier sites respectively (Fig 3b).</w:t>
      </w:r>
      <w:r>
        <w:t xml:space="preserve"> </w:t>
      </w:r>
    </w:p>
    <w:p>
      <w:pPr>
        <w:pStyle w:val="BodyText"/>
      </w:pPr>
      <w:r>
        <w:t xml:space="preserve">Broadly, the effects of wetness and size were different across droughts while exposure tended to decrease growth with varying strengths across droughts (Fig 4a).</w:t>
      </w:r>
      <w:r>
        <w:t xml:space="preserve"> </w:t>
      </w:r>
      <w:r>
        <w:t xml:space="preserve">Accounting for DBH and exposure, wetness had a small negative effect in 2010 (median effect =-0.04, 90% CI -0.09, 0.02), but a positive effect in 2015 (median effect =0.05, 90% CI 0, 0.11) and 2020 (median effect =0.06, 90% CI 0.01, 0.12).</w:t>
      </w:r>
      <w:r>
        <w:t xml:space="preserve"> </w:t>
      </w:r>
      <w:r>
        <w:t xml:space="preserve"> </w:t>
      </w:r>
      <w:r>
        <w:t xml:space="preserve"> </w:t>
      </w:r>
    </w:p>
    <w:p>
      <w:pPr>
        <w:pStyle w:val="BodyText"/>
      </w:pPr>
      <w:r>
        <w:t xml:space="preserve">Drought sensitivities of individuals with different crown exposures varied across droughts (Fig 5), supporting prediction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 -0.15, 90% CI -0.33, -0.07), while in 2015 and 2020 the negative effect was not as strong (2015 median effect = -0.06, 90% CI -0.17, 0.03; 2020 median effect = -0.02, 90% CI -0.1, 0.06).</w:t>
      </w:r>
      <w:r>
        <w:t xml:space="preserve"> </w:t>
      </w:r>
      <w:r>
        <w:t xml:space="preserve">Predicted effects of CII on sensitivity decreased monotonically, with strong decreases in 2010, weak decrease in 2015, and no effect in 2020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There was little consistency in species- or individual-level responses across droughts,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deciduous species had divergent responses in 2015 and 2020, especially along a wetness gradient; they showed greater growth declines in wetter than drier sites in 2015 and the reverse in 2020, while evergreen species showed greater declines in drier sites in both 2015 and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stabilizing ecosystem function and maintaining species diversity.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Our finding that a severe wet-season drought in 2015 had greater impact on woody growth than dry-season drought in 2010 and dry-to-wet-season drought in 2020 is somewhat contrary to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conclusion.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 together with concurrent measures of soil water availability.</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(deciduousness)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(Groenendijk</w:t>
      </w:r>
      <w:r>
        <w:t xml:space="preserve"> </w:t>
      </w:r>
      <w:r>
        <w:rPr>
          <w:iCs/>
          <w:i/>
        </w:rPr>
        <w:t xml:space="preserve">et al.</w:t>
      </w:r>
      <w:r>
        <w:t xml:space="preserve"> </w:t>
      </w:r>
      <w:r>
        <w:t xml:space="preserve">2025)</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 </w:t>
      </w:r>
      <w:r>
        <w:t xml:space="preserve">Again, continued expansion of dendrometer band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S6, Table S1).</w:t>
      </w:r>
      <w:r>
        <w:t xml:space="preserve"> </w:t>
      </w:r>
      <w:r>
        <w:t xml:space="preserve">Extrapolating from such dendrochronological data, therefore, could lead to important errors if attributed to other species, potentially misrepresenting drought impacts conservation or silviculture, e.g. </w:t>
      </w:r>
      <w:r>
        <w:rPr>
          <w:iCs/>
          <w:i/>
        </w:rPr>
        <w:t xml:space="preserve">Dipterocarpus alatus</w:t>
      </w:r>
      <w:r>
        <w:t xml:space="preserve">, a conservation and commercial priority species, presents a different drought response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biological insurance effects</w:t>
      </w:r>
      <w:r>
        <w:t xml:space="preserve"> </w:t>
      </w:r>
      <w:r>
        <w:t xml:space="preserve">(Loreau</w:t>
      </w:r>
      <w:r>
        <w:t xml:space="preserve"> </w:t>
      </w:r>
      <w:r>
        <w:rPr>
          <w:iCs/>
          <w:i/>
        </w:rPr>
        <w:t xml:space="preserve">et al.</w:t>
      </w:r>
      <w:r>
        <w:t xml:space="preserve"> </w:t>
      </w:r>
      <w:r>
        <w:t xml:space="preserve">2021)</w:t>
      </w:r>
      <w:r>
        <w:t xml:space="preserve"> </w:t>
      </w:r>
      <w:r>
        <w:t xml:space="preserve">among tropical tree responses, in alignment with recent global analyses</w:t>
      </w:r>
      <w:r>
        <w:t xml:space="preserve"> </w:t>
      </w:r>
      <w:r>
        <w:t xml:space="preserve">(Langan</w:t>
      </w:r>
      <w:r>
        <w:t xml:space="preserve"> </w:t>
      </w:r>
      <w:r>
        <w:rPr>
          <w:iCs/>
          <w:i/>
        </w:rPr>
        <w:t xml:space="preserve">et al.</w:t>
      </w:r>
      <w:r>
        <w:t xml:space="preserve"> </w:t>
      </w:r>
      <w:r>
        <w:t xml:space="preserve">2025; 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simple, static function of species identity, traits, or microenvironments, but rather a complex,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Simple, 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comprehensive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David Bauman provided helpful discussions on causal inference modelling.</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42" w:name="references"/>
    <w:p>
      <w:pPr>
        <w:pStyle w:val="Heading1"/>
      </w:pPr>
      <w:r>
        <w:t xml:space="preserve">References</w:t>
      </w:r>
    </w:p>
    <w:bookmarkStart w:id="141"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49"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49"/>
    <w:bookmarkStart w:id="51" w:name="ref-bürkner_brms_2017"/>
    <w:p>
      <w:pPr>
        <w:pStyle w:val="Bibliography"/>
      </w:pPr>
      <w:r>
        <w:t xml:space="preserve">Bürkner, P.-C. (2017).</w:t>
      </w:r>
      <w:r>
        <w:t xml:space="preserve"> </w:t>
      </w:r>
      <w:hyperlink r:id="rId5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1"/>
    <w:bookmarkStart w:id="5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2"/>
    <w:bookmarkStart w:id="5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4"/>
    <w:bookmarkStart w:id="56" w:name="ref-clark_annual_2021"/>
    <w:p>
      <w:pPr>
        <w:pStyle w:val="Bibliography"/>
      </w:pPr>
      <w:r>
        <w:t xml:space="preserve">Clark, D.A., Clark, D.B. &amp; Oberbauer, S.F. (2021).</w:t>
      </w:r>
      <w:r>
        <w:t xml:space="preserve"> </w:t>
      </w:r>
      <w:hyperlink r:id="rId5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6"/>
    <w:bookmarkStart w:id="58" w:name="ref-clark_annual_2010"/>
    <w:p>
      <w:pPr>
        <w:pStyle w:val="Bibliography"/>
      </w:pPr>
      <w:r>
        <w:t xml:space="preserve">Clark, D.B., Clark, D.A. &amp; Oberbauer, S.F. (2010).</w:t>
      </w:r>
      <w:r>
        <w:t xml:space="preserve"> </w:t>
      </w:r>
      <w:hyperlink r:id="rId5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58"/>
    <w:bookmarkStart w:id="60" w:name="ref-dahinden_future_2017"/>
    <w:p>
      <w:pPr>
        <w:pStyle w:val="Bibliography"/>
      </w:pPr>
      <w:r>
        <w:t xml:space="preserve">Dahinden, F., Fischer, E.M. &amp; Knutti, R. (2017).</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0"/>
    <w:bookmarkStart w:id="62" w:name="ref-desouza_drought_2020"/>
    <w:p>
      <w:pPr>
        <w:pStyle w:val="Bibliography"/>
      </w:pPr>
      <w:r>
        <w:t xml:space="preserve">De Souza, B.C., Carvalho, E.C.D., Oliveira, R.S., De Araujo, F.S., De Lima, A.L.A. &amp; Rodal, M.J.N. (2020).</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2"/>
    <w:bookmarkStart w:id="63" w:name="ref-detto_correcting_2023"/>
    <w:p>
      <w:pPr>
        <w:pStyle w:val="Bibliography"/>
      </w:pPr>
      <w:r>
        <w:t xml:space="preserve">Detto, M. &amp; Muller-Landau, H.C. (2023). Correcting dendrometer measurements for stem curvature.</w:t>
      </w:r>
    </w:p>
    <w:bookmarkEnd w:id="63"/>
    <w:bookmarkStart w:id="65" w:name="ref-evans_scaling_2025"/>
    <w:p>
      <w:pPr>
        <w:pStyle w:val="Bibliography"/>
      </w:pPr>
      <w:r>
        <w:t xml:space="preserve">Evans, M.E.K., Hu, J. &amp; Michaletz, S.T. (2025).</w:t>
      </w:r>
      <w:r>
        <w:t xml:space="preserve"> </w:t>
      </w:r>
      <w:hyperlink r:id="rId64">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roenendijk_importance_2025"/>
    <w:p>
      <w:pPr>
        <w:pStyle w:val="Bibliography"/>
      </w:pPr>
      <w:r>
        <w:t xml:space="preserve">Groenendijk, P., Babst, F., Trouet, V., Fan, Z.-X., Granato-Souza, D., Locosselli, G.M.,</w:t>
      </w:r>
      <w:r>
        <w:t xml:space="preserve"> </w:t>
      </w:r>
      <w:r>
        <w:rPr>
          <w:iCs/>
          <w:i/>
        </w:rPr>
        <w:t xml:space="preserve">et al.</w:t>
      </w:r>
      <w:r>
        <w:t xml:space="preserve"> (2025).</w:t>
      </w:r>
      <w:r>
        <w:t xml:space="preserve"> </w:t>
      </w:r>
      <w:hyperlink r:id="rId76">
        <w:r>
          <w:rPr>
            <w:rStyle w:val="Hyperlink"/>
          </w:rPr>
          <w:t xml:space="preserve">The importance of tropical tree-ring chronologies for global change research</w:t>
        </w:r>
      </w:hyperlink>
      <w:r>
        <w:t xml:space="preserve">.</w:t>
      </w:r>
      <w:r>
        <w:t xml:space="preserve"> </w:t>
      </w:r>
      <w:r>
        <w:rPr>
          <w:iCs/>
          <w:i/>
        </w:rPr>
        <w:t xml:space="preserve">Quaternary Science Reviews</w:t>
      </w:r>
      <w:r>
        <w:t xml:space="preserve">, 355, 109233.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7" w:name="ref-langan_amazon_2025"/>
    <w:p>
      <w:pPr>
        <w:pStyle w:val="Bibliography"/>
      </w:pPr>
      <w:r>
        <w:t xml:space="preserve">Langan, L., Scheiter, S., Hickler, T. &amp; Higgins, S.I. (2025).</w:t>
      </w:r>
      <w:r>
        <w:t xml:space="preserve"> </w:t>
      </w:r>
      <w:hyperlink r:id="rId86">
        <w:r>
          <w:rPr>
            <w:rStyle w:val="Hyperlink"/>
          </w:rPr>
          <w:t xml:space="preserve">Amazon forest resistance to drought is increased by diversity in hydraulic traits</w:t>
        </w:r>
      </w:hyperlink>
      <w:r>
        <w:t xml:space="preserve">.</w:t>
      </w:r>
      <w:r>
        <w:t xml:space="preserve"> </w:t>
      </w:r>
      <w:r>
        <w:rPr>
          <w:iCs/>
          <w:i/>
        </w:rPr>
        <w:t xml:space="preserve">Nature Communications</w:t>
      </w:r>
      <w:r>
        <w:t xml:space="preserve">, 16, 8246.</w:t>
      </w:r>
    </w:p>
    <w:bookmarkEnd w:id="87"/>
    <w:bookmarkStart w:id="8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8"/>
    <w:bookmarkStart w:id="90" w:name="ref-liu_drought_2022"/>
    <w:p>
      <w:pPr>
        <w:pStyle w:val="Bibliography"/>
      </w:pPr>
      <w:r>
        <w:t xml:space="preserve">Liu, D., Wang, T., Peñuelas, J. &amp; Piao, S. (2022).</w:t>
      </w:r>
      <w:r>
        <w:t xml:space="preserve"> </w:t>
      </w:r>
      <w:hyperlink r:id="rId8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0"/>
    <w:bookmarkStart w:id="92" w:name="ref-loreau_biodiversity_2021"/>
    <w:p>
      <w:pPr>
        <w:pStyle w:val="Bibliography"/>
      </w:pPr>
      <w:r>
        <w:t xml:space="preserve">Loreau, M., Barbier, M., Filotas, E., Gravel, D., Isbell, F., Miller, S.J.,</w:t>
      </w:r>
      <w:r>
        <w:t xml:space="preserve"> </w:t>
      </w:r>
      <w:r>
        <w:rPr>
          <w:iCs/>
          <w:i/>
        </w:rPr>
        <w:t xml:space="preserve">et al.</w:t>
      </w:r>
      <w:r>
        <w:t xml:space="preserve"> (2021).</w:t>
      </w:r>
      <w:r>
        <w:t xml:space="preserve"> </w:t>
      </w:r>
      <w:hyperlink r:id="rId91">
        <w:r>
          <w:rPr>
            <w:rStyle w:val="Hyperlink"/>
          </w:rPr>
          <w:t xml:space="preserve">Biodiversity as insurance: From concept to measurement and application</w:t>
        </w:r>
      </w:hyperlink>
      <w:r>
        <w:t xml:space="preserve">.</w:t>
      </w:r>
      <w:r>
        <w:t xml:space="preserve"> </w:t>
      </w:r>
      <w:r>
        <w:rPr>
          <w:iCs/>
          <w:i/>
        </w:rPr>
        <w:t xml:space="preserve">Biological Reviews</w:t>
      </w:r>
      <w:r>
        <w:t xml:space="preserve">, 96, 2333–2354.</w:t>
      </w:r>
    </w:p>
    <w:bookmarkEnd w:id="92"/>
    <w:bookmarkStart w:id="94" w:name="ref-luo_tropical_2022"/>
    <w:p>
      <w:pPr>
        <w:pStyle w:val="Bibliography"/>
      </w:pPr>
      <w:r>
        <w:t xml:space="preserve">Luo, X. &amp; Keenan, T.F. (2022).</w:t>
      </w:r>
      <w:r>
        <w:t xml:space="preserve"> </w:t>
      </w:r>
      <w:hyperlink r:id="rId93">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4"/>
    <w:bookmarkStart w:id="96" w:name="ref-ma_tree_2023"/>
    <w:p>
      <w:pPr>
        <w:pStyle w:val="Bibliography"/>
      </w:pPr>
      <w:r>
        <w:t xml:space="preserve">Ma, Q., Su, Y., Niu, C., Ma, Q., Hu, T., Luo, X.,</w:t>
      </w:r>
      <w:r>
        <w:t xml:space="preserve"> </w:t>
      </w:r>
      <w:r>
        <w:rPr>
          <w:iCs/>
          <w:i/>
        </w:rPr>
        <w:t xml:space="preserve">et al.</w:t>
      </w:r>
      <w:r>
        <w:t xml:space="preserve"> (2023).</w:t>
      </w:r>
      <w:r>
        <w:t xml:space="preserve"> </w:t>
      </w:r>
      <w:hyperlink r:id="rId9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6"/>
    <w:bookmarkStart w:id="98" w:name="ref-mcdowell_darcys_2015"/>
    <w:p>
      <w:pPr>
        <w:pStyle w:val="Bibliography"/>
      </w:pPr>
      <w:r>
        <w:t xml:space="preserve">McDowell, N.G. &amp; Allen, C.D. (2015).</w:t>
      </w:r>
      <w:r>
        <w:t xml:space="preserve"> </w:t>
      </w:r>
      <w:hyperlink r:id="rId97">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8"/>
    <w:bookmarkStart w:id="10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0"/>
    <w:bookmarkStart w:id="101" w:name="ref-muller-landau_metal_2008"/>
    <w:p>
      <w:pPr>
        <w:pStyle w:val="Bibliography"/>
      </w:pPr>
      <w:r>
        <w:t xml:space="preserve">Muller-Landau, H.C. (2008). Metal</w:t>
      </w:r>
      <w:r>
        <w:t xml:space="preserve"> </w:t>
      </w:r>
      <w:r>
        <w:t xml:space="preserve">Band Dendrometer Protocol</w:t>
      </w:r>
      <w:r>
        <w:t xml:space="preserve">.</w:t>
      </w:r>
    </w:p>
    <w:bookmarkEnd w:id="101"/>
    <w:bookmarkStart w:id="103"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02">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3"/>
    <w:bookmarkStart w:id="10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5"/>
    <w:bookmarkStart w:id="107" w:name="ref-oliveira_linking_2021"/>
    <w:p>
      <w:pPr>
        <w:pStyle w:val="Bibliography"/>
      </w:pPr>
      <w:r>
        <w:t xml:space="preserve">Oliveira, R.S., Eller, C.B., Barros, F. de V., Hirota, M., Brum, M. &amp; Bittencourt, P. (2021).</w:t>
      </w:r>
      <w:r>
        <w:t xml:space="preserve"> </w:t>
      </w:r>
      <w:hyperlink r:id="rId10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7"/>
    <w:bookmarkStart w:id="10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8"/>
    <w:bookmarkStart w:id="110" w:name="ref-raesch_pvldcurve_2020"/>
    <w:p>
      <w:pPr>
        <w:pStyle w:val="Bibliography"/>
      </w:pPr>
      <w:r>
        <w:t xml:space="preserve">Raesch, A. (2020).</w:t>
      </w:r>
      <w:r>
        <w:t xml:space="preserve"> </w:t>
      </w:r>
      <w:hyperlink r:id="rId10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0"/>
    <w:bookmarkStart w:id="112" w:name="ref-räsänen_spatial_2016"/>
    <w:p>
      <w:pPr>
        <w:pStyle w:val="Bibliography"/>
      </w:pPr>
      <w:r>
        <w:t xml:space="preserve">Räsänen, T.A., Lindgren, V., Guillaume, J.H.A., Buckley, B.M. &amp; Kummu, M. (2016).</w:t>
      </w:r>
      <w:r>
        <w:t xml:space="preserve"> </w:t>
      </w:r>
      <w:hyperlink r:id="rId11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stahl_depth_2013"/>
    <w:p>
      <w:pPr>
        <w:pStyle w:val="Bibliography"/>
      </w:pPr>
      <w:r>
        <w:t xml:space="preserve">Stahl, C., Hérault, B., Rossi, V., Burban, B., Bréchet, C. &amp; Bonal, D. (2013).</w:t>
      </w:r>
      <w:r>
        <w:t xml:space="preserve"> </w:t>
      </w:r>
      <w:hyperlink r:id="rId11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8"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8"/>
    <w:bookmarkStart w:id="140" w:name="ref-zuleta_droughtinduced_2017"/>
    <w:p>
      <w:pPr>
        <w:pStyle w:val="Bibliography"/>
      </w:pPr>
      <w:r>
        <w:t xml:space="preserve">Zuleta, D., Duque, A., Cardenas, D., Muller-Landau, H.C. &amp; Davies, S.J. (2017).</w:t>
      </w:r>
      <w:r>
        <w:t xml:space="preserve"> </w:t>
      </w:r>
      <w:hyperlink r:id="rId13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0"/>
    <w:bookmarkEnd w:id="141"/>
    <w:p>
      <w:r>
        <w:br w:type="page"/>
      </w:r>
    </w:p>
    <w:bookmarkEnd w:id="142"/>
    <w:bookmarkStart w:id="144" w:name="tables"/>
    <w:p>
      <w:pPr>
        <w:pStyle w:val="Heading1"/>
      </w:pPr>
      <w:r>
        <w:t xml:space="preserve">Tables</w:t>
      </w:r>
    </w:p>
    <w:p>
      <w:pPr>
        <w:pStyle w:val="TableCaption"/>
      </w:pPr>
      <w:bookmarkStart w:id="143" w:name="tab:table"/>
      <w:bookmarkEnd w:id="143"/>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4"/>
    <w:bookmarkStart w:id="145"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rolling means (in colour for each year) along with their long-term mean and standard deviation (in grey).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for all trees of the thirty species analysed (black), and median of species medians (dark grey)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drought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5"/>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2025-11-01T07:09:01Z</dcterms:created>
  <dcterms:modified xsi:type="dcterms:W3CDTF">2025-11-01T07:09:01Z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