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5016</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themselves are not precise enough for calculating drought sensitivity; error for growth is twice measurement error =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3" w:name="ref-dahinden_future_2017"/>
    <w:p>
      <w:pPr>
        <w:pStyle w:val="Bibliography"/>
      </w:pPr>
      <w:r>
        <w:t xml:space="preserve">Dahinden, F., Fischer, E.M. &amp; Knutti, R. (2017).</w:t>
      </w:r>
      <w:r>
        <w:t xml:space="preserve"> </w:t>
      </w:r>
      <w:hyperlink r:id="rId8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3"/>
    <w:bookmarkStart w:id="85" w:name="ref-desouza_drought_2020"/>
    <w:p>
      <w:pPr>
        <w:pStyle w:val="Bibliography"/>
      </w:pPr>
      <w:r>
        <w:t xml:space="preserve">De Souza, B.C., Carvalho, E.C.D., Oliveira, R.S., De Araujo, F.S., De Lima, A.L.A. &amp; Rodal, M.J.N. (2020).</w:t>
      </w:r>
      <w:r>
        <w:t xml:space="preserve"> </w:t>
      </w:r>
      <w:hyperlink r:id="rId8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5"/>
    <w:bookmarkStart w:id="86" w:name="ref-detto_correcting_2023"/>
    <w:p>
      <w:pPr>
        <w:pStyle w:val="Bibliography"/>
      </w:pPr>
      <w:r>
        <w:t xml:space="preserve">Detto, M. &amp; Muller-Landau, H.C. (2023). Correcting dendrometer measurements for stem curvature.</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2025-06-19T14:11:46Z</dcterms:created>
  <dcterms:modified xsi:type="dcterms:W3CDTF">2025-06-19T14:11:46Z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