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tropical forests, altering tree demography and its contribution to the land carbon sink.</w:t>
      </w:r>
      <w:r>
        <w:t xml:space="preserve"> </w:t>
      </w:r>
      <w:r>
        <w:t xml:space="preserve">In seasonally dry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Tropical tree woody growth has long-lasting impacts on the terrestrial carbon pool, but is vulnerable to climate anomalies like drought</w:t>
      </w:r>
      <w:r>
        <w:t xml:space="preserve"> </w:t>
      </w:r>
      <w:r>
        <w:t xml:space="preserve">(Tao</w:t>
      </w:r>
      <w:r>
        <w:t xml:space="preserve"> </w:t>
      </w:r>
      <w:r>
        <w:rPr>
          <w:iCs/>
          <w:i/>
        </w:rPr>
        <w:t xml:space="preserve">et al.</w:t>
      </w:r>
      <w:r>
        <w:t xml:space="preserve"> </w:t>
      </w:r>
      <w:r>
        <w:t xml:space="preserve">2022)</w:t>
      </w:r>
      <w:r>
        <w:t xml:space="preserve">.</w:t>
      </w:r>
      <w:r>
        <w:br/>
      </w:r>
      <w:r>
        <w:t xml:space="preserve">- Woody growth has one of the longest residence times in terrestrial carbon pool, contributing to long-lasting impacts on carbon removal from the atmosphere</w:t>
      </w:r>
      <w:r>
        <w:t xml:space="preserve"> </w:t>
      </w:r>
      <w:r>
        <w:t xml:space="preserve">(Muller-Landau</w:t>
      </w:r>
      <w:r>
        <w:t xml:space="preserve"> </w:t>
      </w:r>
      <w:r>
        <w:rPr>
          <w:iCs/>
          <w:i/>
        </w:rPr>
        <w:t xml:space="preserve">et al.</w:t>
      </w:r>
      <w:r>
        <w:t xml:space="preserve"> </w:t>
      </w:r>
      <w:r>
        <w:t xml:space="preserve">2021; Yang</w:t>
      </w:r>
      <w:r>
        <w:t xml:space="preserve"> </w:t>
      </w:r>
      <w:r>
        <w:rPr>
          <w:iCs/>
          <w:i/>
        </w:rPr>
        <w:t xml:space="preserve">et al.</w:t>
      </w:r>
      <w:r>
        <w:t xml:space="preserve"> </w:t>
      </w:r>
      <w:r>
        <w:t xml:space="preserve">2021)</w:t>
      </w:r>
      <w:r>
        <w:t xml:space="preserve">.</w:t>
      </w:r>
      <w:r>
        <w:br/>
      </w:r>
      <w:r>
        <w:t xml:space="preserve">- Climate anomalies like drought can lead to stand-level growth reductions, along with increased mortality</w:t>
      </w:r>
      <w:r>
        <w:t xml:space="preserve"> </w:t>
      </w:r>
      <w:r>
        <w:t xml:space="preserve">(Bauman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br/>
      </w:r>
      <w:r>
        <w:t xml:space="preserve"> </w:t>
      </w:r>
      <w:r>
        <w:t xml:space="preserve"> </w:t>
      </w:r>
      <w:r>
        <w:t xml:space="preserve">- Across the tropics, drought frequency and intensity are increasing, and there is some evidence that stand-level vulnerability is increasing</w:t>
      </w:r>
      <w:r>
        <w:t xml:space="preserve"> </w:t>
      </w:r>
      <w:r>
        <w:t xml:space="preserve">(Luo &amp; Keenan 2022; Tao</w:t>
      </w:r>
      <w:r>
        <w:t xml:space="preserve"> </w:t>
      </w:r>
      <w:r>
        <w:rPr>
          <w:iCs/>
          <w:i/>
        </w:rPr>
        <w:t xml:space="preserve">et al.</w:t>
      </w:r>
      <w:r>
        <w:t xml:space="preserve"> </w:t>
      </w:r>
      <w:r>
        <w:t xml:space="preserve">2022)</w:t>
      </w:r>
      <w:r>
        <w:t xml:space="preserve">.</w:t>
      </w:r>
      <w:r>
        <w:t xml:space="preserve"> </w:t>
      </w:r>
      <w:r>
        <w:t xml:space="preserve">- Drought sensitivity is often understood as a species trait, but it can vary substantially among drought events [] and among individuals based on their characteristics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compounding uncertainties in predicting forest responses.</w:t>
      </w:r>
      <w:r>
        <w:br/>
      </w:r>
      <w:r>
        <w:t xml:space="preserve">- With changing climate patterns across the global tropics, emergence of novel climatic regimes like</w:t>
      </w:r>
      <w:r>
        <w:t xml:space="preserve"> </w:t>
      </w:r>
      <w:r>
        <w:t xml:space="preserve">“</w:t>
      </w:r>
      <w:r>
        <w:t xml:space="preserve">very extreme droughts</w:t>
      </w:r>
      <w:r>
        <w:t xml:space="preserve">”</w:t>
      </w:r>
      <w:r>
        <w:t xml:space="preserve"> </w:t>
      </w:r>
      <w:r>
        <w:t xml:space="preserve">in recent decades</w:t>
      </w:r>
      <w:r>
        <w:t xml:space="preserve"> </w:t>
      </w:r>
      <w:r>
        <w:t xml:space="preserve">(Dahinden</w:t>
      </w:r>
      <w:r>
        <w:t xml:space="preserve"> </w:t>
      </w:r>
      <w:r>
        <w:rPr>
          <w:iCs/>
          <w:i/>
        </w:rPr>
        <w:t xml:space="preserve">et al.</w:t>
      </w:r>
      <w:r>
        <w:t xml:space="preserve"> </w:t>
      </w:r>
      <w:r>
        <w:t xml:space="preserve">2017; Luo &amp; Keenan 2022)</w:t>
      </w:r>
      <w:r>
        <w:t xml:space="preserve">, there is an urgent need to understand the drivers of this variation, to be able to predict and respond to forest drought responses.</w:t>
      </w:r>
    </w:p>
    <w:p>
      <w:pPr>
        <w:pStyle w:val="BodyText"/>
      </w:pPr>
      <w:r>
        <w:t xml:space="preserve">Drought characteristics can influence climatic drivers of tree growth and their timing, and affect drought sensitivity of tropical trees.</w:t>
      </w:r>
      <w:r>
        <w:t xml:space="preserve"> </w:t>
      </w:r>
      <w:r>
        <w:t xml:space="preserve">- Tree growth in both everwet and seasonally dry tropical forests show predictable seasonal patterns</w:t>
      </w:r>
      <w:r>
        <w:t xml:space="preserve"> </w:t>
      </w:r>
      <w:r>
        <w:t xml:space="preserve">(Giraldo</w:t>
      </w:r>
      <w:r>
        <w:t xml:space="preserve"> </w:t>
      </w:r>
      <w:r>
        <w:rPr>
          <w:iCs/>
          <w:i/>
        </w:rPr>
        <w:t xml:space="preserve">et al.</w:t>
      </w:r>
      <w:r>
        <w:t xml:space="preserve"> </w:t>
      </w:r>
      <w:r>
        <w:t xml:space="preserve">2023;</w:t>
      </w:r>
      <w:r>
        <w:t xml:space="preserve"> </w:t>
      </w:r>
      <w:r>
        <w:rPr>
          <w:bCs/>
          <w:b/>
        </w:rPr>
        <w:t xml:space="preserve">garcía-cervigón_climate_20200?</w:t>
      </w:r>
      <w:r>
        <w:t xml:space="preserve">)</w:t>
      </w:r>
      <w:r>
        <w:t xml:space="preserve">, but with differences among these patterns.</w:t>
      </w:r>
      <w:r>
        <w:t xml:space="preserve"> </w:t>
      </w:r>
      <w:r>
        <w:t xml:space="preserve">- Droughts are characterised by anomalously hot and/or dry conditions, but these can occur at any time during the seasonal phenology of tree growth.</w:t>
      </w:r>
      <w:r>
        <w:t xml:space="preserve"> </w:t>
      </w:r>
      <w:r>
        <w:t xml:space="preserve">- The effect of drought timing can be more pronounced in seasonally dry tropical forests because of strong seasonality in climate and consequently on photosynthesis, allocation and growth (including dry seasons unfavourable to growth).</w:t>
      </w:r>
      <w:r>
        <w:br/>
      </w:r>
      <w:r>
        <w:t xml:space="preserve">- They are also at thermal/water stress tolerance thresholds, making them more vulnerable to drought</w:t>
      </w:r>
      <w:r>
        <w:t xml:space="preserve"> </w:t>
      </w:r>
      <w:r>
        <w:t xml:space="preserve">(Allen</w:t>
      </w:r>
      <w:r>
        <w:t xml:space="preserve"> </w:t>
      </w:r>
      <w:r>
        <w:rPr>
          <w:iCs/>
          <w:i/>
        </w:rPr>
        <w:t xml:space="preserve">et al.</w:t>
      </w:r>
      <w:r>
        <w:t xml:space="preserve"> </w:t>
      </w:r>
      <w:r>
        <w:t xml:space="preserve">2017)</w:t>
      </w:r>
      <w:r>
        <w:t xml:space="preserve">, potentially explaining stand-level patterns</w:t>
      </w:r>
      <w:r>
        <w:t xml:space="preserve"> </w:t>
      </w:r>
      <w:r>
        <w:t xml:space="preserve">of drought-associated water stress</w:t>
      </w:r>
      <w:r>
        <w:t xml:space="preserve"> </w:t>
      </w:r>
      <w:r>
        <w:t xml:space="preserve">(Bauman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 </w:t>
      </w:r>
      <w:r>
        <w:rPr>
          <w:bCs/>
          <w:b/>
        </w:rPr>
        <w:t xml:space="preserve">aguirre-gutiérrez_drier_2019?</w:t>
      </w:r>
      <w:r>
        <w:t xml:space="preserve">)</w:t>
      </w:r>
      <w:r>
        <w:t xml:space="preserve">.</w:t>
      </w:r>
      <w:r>
        <w:t xml:space="preserve"> </w:t>
      </w:r>
      <w:r>
        <w:t xml:space="preserve">- However, trees in seasonally dry tropical forests exhibit a mix of strategies - along a spectrum of conservative to acquisitive water-use - that support survival and growth despite strong seasonal hot/dry stress, which might confer differential advantages in drought conditions.</w:t>
      </w:r>
      <w:r>
        <w:t xml:space="preserve"> </w:t>
      </w:r>
    </w:p>
    <w:p>
      <w:pPr>
        <w:pStyle w:val="BodyText"/>
      </w:pPr>
      <w:r>
        <w:t xml:space="preserve">Trees in seasonally dry forests have strategies that span and interact across timescales to maximise growth and survival under hot/dry conditions.</w:t>
      </w:r>
      <w:r>
        <w:br/>
      </w:r>
      <w:r>
        <w:t xml:space="preserve">- evolutionary timescales - e.g. dry season deciduousness</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w:t>
      </w:r>
      <w:r>
        <w:t xml:space="preserve">2020)</w:t>
      </w:r>
      <w:r>
        <w:t xml:space="preserve">.</w:t>
      </w:r>
      <w:r>
        <w:br/>
      </w:r>
      <w:r>
        <w:t xml:space="preserve">- ecological timescales - e.g. distribution of trees in relation to wetness</w:t>
      </w:r>
      <w:r>
        <w:br/>
      </w:r>
      <w:r>
        <w:t xml:space="preserve">- Species distribution of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br/>
      </w:r>
      <w:r>
        <w:t xml:space="preserve">- ecophysiological - e.g. negative TLPs, plasticity in deciduousness (root/shoot)</w:t>
      </w:r>
      <w:r>
        <w:t xml:space="preserve"> </w:t>
      </w:r>
      <w:r>
        <w:t xml:space="preserve">- These spectrum of species strategies in seasonally dry forests for demographic stability under hot dry seasons might have distinct consequences for sensitivity, based on drought characteristics.</w:t>
      </w:r>
      <w:r>
        <w:br/>
      </w:r>
      <w:r>
        <w:t xml:space="preserve">- Species with drought tolerant traits like deep roots, more negative turgor loss point and … can be more or less resistant to drought</w:t>
      </w:r>
      <w:r>
        <w:t xml:space="preserve"> </w:t>
      </w:r>
      <w:r>
        <w:t xml:space="preserve">(Chitra-Tarak</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br/>
      </w:r>
      <w:r>
        <w:t xml:space="preserve">- Larger trees suffer more growth declines during drought</w:t>
      </w:r>
      <w:r>
        <w:t xml:space="preserve"> </w:t>
      </w:r>
      <w:r>
        <w:t xml:space="preserve">(Bennett</w:t>
      </w:r>
      <w:r>
        <w:t xml:space="preserve"> </w:t>
      </w:r>
      <w:r>
        <w:rPr>
          <w:iCs/>
          <w:i/>
        </w:rPr>
        <w:t xml:space="preserve">et al.</w:t>
      </w:r>
      <w:r>
        <w:t xml:space="preserve"> </w:t>
      </w:r>
      <w:r>
        <w:t xml:space="preserve">2015)</w:t>
      </w:r>
      <w:r>
        <w:t xml:space="preserve">, exposed crowns -&gt; more thermal stress</w:t>
      </w:r>
      <w:r>
        <w:t xml:space="preserve"> </w:t>
      </w:r>
      <w:r>
        <w:t xml:space="preserve">(Vinod</w:t>
      </w:r>
      <w:r>
        <w:t xml:space="preserve"> </w:t>
      </w:r>
      <w:r>
        <w:rPr>
          <w:iCs/>
          <w:i/>
        </w:rPr>
        <w:t xml:space="preserve">et al.</w:t>
      </w:r>
      <w:r>
        <w:t xml:space="preserve"> </w:t>
      </w:r>
      <w:r>
        <w:t xml:space="preserve">2023)</w:t>
      </w:r>
      <w:r>
        <w:t xml:space="preserve"> </w:t>
      </w:r>
      <w:r>
        <w:t xml:space="preserve">although crown exposure -&gt; more light -&gt; more growth in normal years.</w:t>
      </w:r>
      <w:r>
        <w:t xml:space="preserve"> </w:t>
      </w:r>
      <w:r>
        <w:t xml:space="preserve">- Some of these adaptations may confer drought sensitivity and buffer stem growth declines during drought years, or conversely, may tradeoff with advantages in normal years, leading to a diversity of responses within a drought event.</w:t>
      </w:r>
      <w:r>
        <w:br/>
      </w:r>
      <w:r>
        <w:t xml:space="preserve">- Moreover, drought characteristics can positively or negatively interfere with these factors, leading to consistent or heterogenous sensitivities across drought events.</w:t>
      </w:r>
    </w:p>
    <w:p>
      <w:pPr>
        <w:pStyle w:val="BodyText"/>
      </w:pP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w:t>
      </w:r>
      <w:r>
        <w:rPr>
          <w:bCs/>
          <w:b/>
        </w:rPr>
        <w:t xml:space="preserve">zweifel?</w:t>
      </w:r>
      <w:r>
        <w:t xml:space="preserve">)</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w:t>
      </w:r>
      <w:r>
        <w:rPr>
          <w:bCs/>
          <w:b/>
        </w:rPr>
        <w:t xml:space="preserve">chitra-tarak?</w:t>
      </w:r>
      <w:r>
        <w:t xml:space="preserve">)</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c23e9d5622289811ff74ac15f14b23934aee219"/>
    <w:p>
      <w:pPr>
        <w:pStyle w:val="Heading2"/>
      </w:pPr>
      <w:r>
        <w:t xml:space="preserve">Drought sensitivity across distinct drought events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5" w:name="X059fbc513bd12695e1d89010b235c7f920b4b68"/>
    <w:p>
      <w:pPr>
        <w:pStyle w:val="Heading2"/>
      </w:pPr>
      <w:r>
        <w:t xml:space="preserve">Predictors of species-level variation in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BodyText"/>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2" name="Picture"/>
            <a:graphic>
              <a:graphicData uri="http://schemas.openxmlformats.org/drawingml/2006/picture">
                <pic:pic>
                  <pic:nvPicPr>
                    <pic:cNvPr descr="display/Fig4.png" id="43" name="Picture"/>
                    <pic:cNvPicPr>
                      <a:picLocks noChangeArrowheads="1" noChangeAspect="1"/>
                    </pic:cNvPicPr>
                  </pic:nvPicPr>
                  <pic:blipFill>
                    <a:blip r:embed="rId4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4">
        <w:r>
          <w:rPr>
            <w:rStyle w:val="Hyperlink"/>
          </w:rPr>
          <w:t xml:space="preserve">https://github.com/forestgeo/growth-precip-thailand/issues/13</w:t>
        </w:r>
      </w:hyperlink>
    </w:p>
    <w:bookmarkEnd w:id="45"/>
    <w:bookmarkStart w:id="50" w:name="X3201409ee9d02256f856fd74ae809750939abbf"/>
    <w:p>
      <w:pPr>
        <w:pStyle w:val="Heading2"/>
      </w:pPr>
      <w:r>
        <w:t xml:space="preserve">Predictors of stem-level variation in drought sensitivity</w:t>
      </w:r>
    </w:p>
    <w:p>
      <w:pPr>
        <w:pStyle w:val="FirstParagraph"/>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Unordered points from Introduction</w:t>
      </w:r>
      <w:r>
        <w:t xml:space="preserve"> </w:t>
      </w:r>
      <w:r>
        <w:t xml:space="preserve">- Many hydraulic-related traits vary with tree height</w:t>
      </w:r>
      <w:r>
        <w:t xml:space="preserve"> </w:t>
      </w:r>
      <w:r>
        <w:t xml:space="preserve">(Vinod</w:t>
      </w:r>
      <w:r>
        <w:t xml:space="preserve"> </w:t>
      </w:r>
      <w:r>
        <w:rPr>
          <w:iCs/>
          <w:i/>
        </w:rPr>
        <w:t xml:space="preserve">et al.</w:t>
      </w:r>
      <w:r>
        <w:t xml:space="preserve"> </w:t>
      </w:r>
      <w:r>
        <w:t xml:space="preserve">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r>
        <w:t xml:space="preserve"> </w:t>
      </w:r>
      <w:r>
        <w:rPr>
          <w:iCs/>
          <w:i/>
        </w:rPr>
        <w:t xml:space="preserve">caveat for species-level traits</w:t>
      </w:r>
    </w:p>
    <w:p>
      <w:pPr>
        <w:pStyle w:val="BodyText"/>
      </w:pPr>
      <w:r>
        <w:rPr>
          <w:iCs/>
          <w:i/>
        </w:rPr>
        <w:t xml:space="preserve">for where else might they be allocating to?</w:t>
      </w:r>
      <w:r>
        <w:t xml:space="preserve"> </w:t>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w:t>
      </w:r>
      <w:r>
        <w:t xml:space="preserve">2023)</w:t>
      </w:r>
      <w:r>
        <w:t xml:space="preserve">.</w:t>
      </w:r>
      <w:r>
        <w:br/>
      </w:r>
      <w:r>
        <w:t xml:space="preserve">- ENSO droguht changed regeneration dynamics in Thailand</w:t>
      </w:r>
      <w:r>
        <w:t xml:space="preserve"> </w:t>
      </w:r>
      <w:r>
        <w:t xml:space="preserve">(Nutiprapun</w:t>
      </w:r>
      <w:r>
        <w:t xml:space="preserve"> </w:t>
      </w:r>
      <w:r>
        <w:rPr>
          <w:iCs/>
          <w:i/>
        </w:rPr>
        <w:t xml:space="preserve">et al.</w:t>
      </w:r>
      <w:r>
        <w:t xml:space="preserve"> </w:t>
      </w:r>
      <w:r>
        <w:t xml:space="preserve">2023)</w:t>
      </w:r>
      <w:r>
        <w:t xml:space="preserve"> </w:t>
      </w:r>
      <w:r>
        <w:t xml:space="preserve">- deciduous species have higher survival under multi-year droughts</w:t>
      </w:r>
      <w:r>
        <w:t xml:space="preserve"> </w:t>
      </w:r>
      <w:r>
        <w:t xml:space="preserve">(</w:t>
      </w:r>
      <w:r>
        <w:rPr>
          <w:bCs/>
          <w:b/>
        </w:rPr>
        <w:t xml:space="preserve">aguirre-guiterrez?</w:t>
      </w:r>
      <w:r>
        <w:t xml:space="preserve"> </w:t>
      </w:r>
      <w:r>
        <w:t xml:space="preserve">refs)</w:t>
      </w:r>
    </w:p>
    <w:p>
      <w:pPr>
        <w:numPr>
          <w:ilvl w:val="0"/>
          <w:numId w:val="1001"/>
        </w:numPr>
      </w:pPr>
      <w:r>
        <w:t xml:space="preserve">(BCI light x size interaction in</w:t>
      </w:r>
      <w:r>
        <w:t xml:space="preserve"> </w:t>
      </w:r>
      <w:r>
        <w:t xml:space="preserve">Rüger</w:t>
      </w:r>
      <w:r>
        <w:t xml:space="preserve"> </w:t>
      </w:r>
      <w:r>
        <w:rPr>
          <w:iCs/>
          <w:i/>
        </w:rPr>
        <w:t xml:space="preserve">et al.</w:t>
      </w:r>
      <w:r>
        <w:t xml:space="preserve"> </w:t>
      </w:r>
      <w:r>
        <w:t xml:space="preserve">(2011)</w:t>
      </w:r>
      <w:r>
        <w:t xml:space="preserve">)</w:t>
      </w:r>
    </w:p>
    <w:p>
      <w:pPr>
        <w:numPr>
          <w:ilvl w:val="0"/>
          <w:numId w:val="1001"/>
        </w:numPr>
      </w:pPr>
      <w:r>
        <w:t xml:space="preserve">Afzelia xylocarpa, one of the tree ring species had the most distinct (positive) sensitivity in the dry season drought</w:t>
      </w:r>
      <w:r>
        <w:t xml:space="preserve"> </w:t>
      </w:r>
      <w:r>
        <w:rPr>
          <w:iCs/>
          <w:i/>
        </w:rPr>
        <w:t xml:space="preserve">on how representative sampling is important</w:t>
      </w:r>
    </w:p>
    <w:bookmarkEnd w:id="52"/>
    <w:bookmarkStart w:id="53"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3"/>
    <w:bookmarkStart w:id="54" w:name="competing-interests"/>
    <w:p>
      <w:pPr>
        <w:pStyle w:val="Heading1"/>
      </w:pPr>
      <w:r>
        <w:t xml:space="preserve">Competing interests</w:t>
      </w:r>
    </w:p>
    <w:bookmarkEnd w:id="54"/>
    <w:bookmarkStart w:id="55" w:name="author-contributions"/>
    <w:p>
      <w:pPr>
        <w:pStyle w:val="Heading1"/>
      </w:pPr>
      <w:r>
        <w:t xml:space="preserve">Author contributions</w:t>
      </w:r>
    </w:p>
    <w:bookmarkEnd w:id="55"/>
    <w:bookmarkStart w:id="56" w:name="data-availability"/>
    <w:p>
      <w:pPr>
        <w:pStyle w:val="Heading1"/>
      </w:pPr>
      <w:r>
        <w:t xml:space="preserve">Data availability</w:t>
      </w:r>
    </w:p>
    <w:p>
      <w:r>
        <w:br w:type="page"/>
      </w:r>
    </w:p>
    <w:bookmarkEnd w:id="56"/>
    <w:bookmarkStart w:id="104" w:name="references"/>
    <w:p>
      <w:pPr>
        <w:pStyle w:val="Heading1"/>
      </w:pPr>
      <w:r>
        <w:t xml:space="preserve">References</w:t>
      </w:r>
    </w:p>
    <w:bookmarkStart w:id="103" w:name="refs"/>
    <w:bookmarkStart w:id="58"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7">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58"/>
    <w:bookmarkStart w:id="6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0"/>
    <w:bookmarkStart w:id="62"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1">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2"/>
    <w:bookmarkStart w:id="64" w:name="ref-bennett_larger_2015"/>
    <w:p>
      <w:pPr>
        <w:pStyle w:val="Bibliography"/>
      </w:pPr>
      <w:r>
        <w:t xml:space="preserve">Bennett, A.C., McDowell, N.G., Allen, C.D. &amp; Anderson-Teixeira, K.J. (2015).</w:t>
      </w:r>
      <w:r>
        <w:t xml:space="preserve"> </w:t>
      </w:r>
      <w:hyperlink r:id="rId63">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4"/>
    <w:bookmarkStart w:id="66"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5">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6"/>
    <w:bookmarkStart w:id="68"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67">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68"/>
    <w:bookmarkStart w:id="70" w:name="ref-dahinden_future_2017"/>
    <w:p>
      <w:pPr>
        <w:pStyle w:val="Bibliography"/>
      </w:pPr>
      <w:r>
        <w:t xml:space="preserve">Dahinden, F., Fischer, E.M. &amp; Knutti, R. (2017).</w:t>
      </w:r>
      <w:r>
        <w:t xml:space="preserve"> </w:t>
      </w:r>
      <w:hyperlink r:id="rId6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0"/>
    <w:bookmarkStart w:id="72" w:name="ref-desouza_drought_2020"/>
    <w:p>
      <w:pPr>
        <w:pStyle w:val="Bibliography"/>
      </w:pPr>
      <w:r>
        <w:t xml:space="preserve">De Souza, B.C., Carvalho, E.C.D., Oliveira, R.S., De Araujo, F.S., De Lima, A.L.A. &amp; Rodal, M.J.N. (2020).</w:t>
      </w:r>
      <w:r>
        <w:t xml:space="preserve"> </w:t>
      </w:r>
      <w:hyperlink r:id="rId7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72"/>
    <w:bookmarkStart w:id="74"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73">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74"/>
    <w:bookmarkStart w:id="76"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7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76"/>
    <w:bookmarkStart w:id="77"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77"/>
    <w:bookmarkStart w:id="79" w:name="ref-luo_tropical_2022"/>
    <w:p>
      <w:pPr>
        <w:pStyle w:val="Bibliography"/>
      </w:pPr>
      <w:r>
        <w:t xml:space="preserve">Luo, X. &amp; Keenan, T.F. (2022).</w:t>
      </w:r>
      <w:r>
        <w:t xml:space="preserve"> </w:t>
      </w:r>
      <w:hyperlink r:id="rId7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79"/>
    <w:bookmarkStart w:id="81" w:name="ref-machado_forest_2023"/>
    <w:p>
      <w:pPr>
        <w:pStyle w:val="Bibliography"/>
      </w:pPr>
      <w:r>
        <w:t xml:space="preserve">Machado, S., Valle, D., Toh, K.B. &amp; Johnson, D.J. (2023).</w:t>
      </w:r>
      <w:r>
        <w:t xml:space="preserve"> </w:t>
      </w:r>
      <w:hyperlink r:id="rId80">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55, 1093–1100.</w:t>
      </w:r>
    </w:p>
    <w:bookmarkEnd w:id="81"/>
    <w:bookmarkStart w:id="83"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82">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83"/>
    <w:bookmarkStart w:id="84" w:name="ref-muller-landau_metal_2008"/>
    <w:p>
      <w:pPr>
        <w:pStyle w:val="Bibliography"/>
      </w:pPr>
      <w:r>
        <w:t xml:space="preserve">Muller-Landau, H.C. (2008). Metal</w:t>
      </w:r>
      <w:r>
        <w:t xml:space="preserve"> </w:t>
      </w:r>
      <w:r>
        <w:t xml:space="preserve">Band Dendrometer Protocol</w:t>
      </w:r>
      <w:r>
        <w:t xml:space="preserve">.</w:t>
      </w:r>
    </w:p>
    <w:bookmarkEnd w:id="84"/>
    <w:bookmarkStart w:id="86" w:name="ref-muller-landau_patterns_2021"/>
    <w:p>
      <w:pPr>
        <w:pStyle w:val="Bibliography"/>
      </w:pPr>
      <w:r>
        <w:t xml:space="preserve">Muller-Landau, H.C., Cushman, K.C., Arroyo, E.E., Martinez Cano, I., Anderson-Teixeira, K.J. &amp; Backiel, B. (2021).</w:t>
      </w:r>
      <w:r>
        <w:t xml:space="preserve"> </w:t>
      </w:r>
      <w:hyperlink r:id="rId85">
        <w:r>
          <w:rPr>
            <w:rStyle w:val="Hyperlink"/>
          </w:rPr>
          <w:t xml:space="preserve">Patterns and mechanisms of spatial variation in tropical forest productivity, woody residence time, and biomass</w:t>
        </w:r>
      </w:hyperlink>
      <w:r>
        <w:t xml:space="preserve">.</w:t>
      </w:r>
      <w:r>
        <w:t xml:space="preserve"> </w:t>
      </w:r>
      <w:r>
        <w:rPr>
          <w:iCs/>
          <w:i/>
        </w:rPr>
        <w:t xml:space="preserve">New Phytologist</w:t>
      </w:r>
      <w:r>
        <w:t xml:space="preserve">, 229, 3065–3087.</w:t>
      </w:r>
    </w:p>
    <w:bookmarkEnd w:id="86"/>
    <w:bookmarkStart w:id="88" w:name="ref-nutiprapun_effects_2023"/>
    <w:p>
      <w:pPr>
        <w:pStyle w:val="Bibliography"/>
      </w:pPr>
      <w:r>
        <w:t xml:space="preserve">Nutiprapun, P., Hermhuk, S., Nanami, S., Itoh, A., Kanzaki, M. &amp; Marod, D. (2023).</w:t>
      </w:r>
      <w:r>
        <w:t xml:space="preserve"> </w:t>
      </w:r>
      <w:hyperlink r:id="rId87">
        <w:r>
          <w:rPr>
            <w:rStyle w:val="Hyperlink"/>
          </w:rPr>
          <w:t xml:space="preserve">Effects of</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drought on seedling dynamics in a seasonally dry tropical forest in</w:t>
        </w:r>
        <w:r>
          <w:rPr>
            <w:rStyle w:val="Hyperlink"/>
          </w:rPr>
          <w:t xml:space="preserve"> </w:t>
        </w:r>
        <w:r>
          <w:rPr>
            <w:rStyle w:val="Hyperlink"/>
          </w:rPr>
          <w:t xml:space="preserve">Northern Thailand</w:t>
        </w:r>
      </w:hyperlink>
      <w:r>
        <w:t xml:space="preserve">.</w:t>
      </w:r>
      <w:r>
        <w:t xml:space="preserve"> </w:t>
      </w:r>
      <w:r>
        <w:rPr>
          <w:iCs/>
          <w:i/>
        </w:rPr>
        <w:t xml:space="preserve">Global Change Biology</w:t>
      </w:r>
      <w:r>
        <w:t xml:space="preserve">, 29, 451–461.</w:t>
      </w:r>
    </w:p>
    <w:bookmarkEnd w:id="88"/>
    <w:bookmarkStart w:id="89"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89"/>
    <w:bookmarkStart w:id="91" w:name="ref-rüger_growth_2011"/>
    <w:p>
      <w:pPr>
        <w:pStyle w:val="Bibliography"/>
      </w:pPr>
      <w:r>
        <w:t xml:space="preserve">Rüger, N., Berger, U., Hubbell, S.P., Vieilledent, G. &amp; Condit, R. (2011).</w:t>
      </w:r>
      <w:r>
        <w:t xml:space="preserve"> </w:t>
      </w:r>
      <w:hyperlink r:id="rId90">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w:t>
      </w:r>
      <w:r>
        <w:t xml:space="preserve"> </w:t>
      </w:r>
      <w:r>
        <w:rPr>
          <w:iCs/>
          <w:i/>
        </w:rPr>
        <w:t xml:space="preserve">PLoS ONE</w:t>
      </w:r>
      <w:r>
        <w:t xml:space="preserve">, 6, e25330.</w:t>
      </w:r>
    </w:p>
    <w:bookmarkEnd w:id="91"/>
    <w:bookmarkStart w:id="93" w:name="ref-tao_increasing_2022"/>
    <w:p>
      <w:pPr>
        <w:pStyle w:val="Bibliography"/>
      </w:pPr>
      <w:r>
        <w:t xml:space="preserve">Tao, S., Chave, J., Frison, P.-L., Le Toan, T., Ciais, P., Fang, J.,</w:t>
      </w:r>
      <w:r>
        <w:t xml:space="preserve"> </w:t>
      </w:r>
      <w:r>
        <w:rPr>
          <w:iCs/>
          <w:i/>
        </w:rPr>
        <w:t xml:space="preserve">et al.</w:t>
      </w:r>
      <w:r>
        <w:t xml:space="preserve"> (2022).</w:t>
      </w:r>
      <w:r>
        <w:t xml:space="preserve"> </w:t>
      </w:r>
      <w:hyperlink r:id="rId92">
        <w:r>
          <w:rPr>
            <w:rStyle w:val="Hyperlink"/>
          </w:rPr>
          <w:t xml:space="preserve">Increasing and widespread vulnerability of intact tropical rainforests to repeated droughts</w:t>
        </w:r>
      </w:hyperlink>
      <w:r>
        <w:t xml:space="preserve">.</w:t>
      </w:r>
      <w:r>
        <w:t xml:space="preserve"> </w:t>
      </w:r>
      <w:r>
        <w:rPr>
          <w:iCs/>
          <w:i/>
        </w:rPr>
        <w:t xml:space="preserve">Proceedings of the National Academy of Sciences</w:t>
      </w:r>
      <w:r>
        <w:t xml:space="preserve">, 119, e2116626119.</w:t>
      </w:r>
    </w:p>
    <w:bookmarkEnd w:id="93"/>
    <w:bookmarkStart w:id="9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9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95"/>
    <w:bookmarkStart w:id="97" w:name="ref-vlam_temperature_2014"/>
    <w:p>
      <w:pPr>
        <w:pStyle w:val="Bibliography"/>
      </w:pPr>
      <w:r>
        <w:t xml:space="preserve">Vlam, M., Baker, P.J., Bunyavejchewin, S. &amp; Zuidema, P.A. (2014).</w:t>
      </w:r>
      <w:r>
        <w:t xml:space="preserve"> </w:t>
      </w:r>
      <w:hyperlink r:id="rId9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97"/>
    <w:bookmarkStart w:id="99" w:name="ref-williams_deciduousness_2008"/>
    <w:p>
      <w:pPr>
        <w:pStyle w:val="Bibliography"/>
      </w:pPr>
      <w:r>
        <w:t xml:space="preserve">Williams, L.J., Bunyavejchewin, S. &amp; Baker, P.J. (2008).</w:t>
      </w:r>
      <w:r>
        <w:t xml:space="preserve"> </w:t>
      </w:r>
      <w:hyperlink r:id="rId9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99"/>
    <w:bookmarkStart w:id="10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00"/>
    <w:bookmarkStart w:id="102" w:name="ref-yang_variations_2021"/>
    <w:p>
      <w:pPr>
        <w:pStyle w:val="Bibliography"/>
      </w:pPr>
      <w:r>
        <w:t xml:space="preserve">Yang, H., Ciais, P., Wang, Y., Huang, Y., Wigneron, J.-P., Bastos, A.,</w:t>
      </w:r>
      <w:r>
        <w:t xml:space="preserve"> </w:t>
      </w:r>
      <w:r>
        <w:rPr>
          <w:iCs/>
          <w:i/>
        </w:rPr>
        <w:t xml:space="preserve">et al.</w:t>
      </w:r>
      <w:r>
        <w:t xml:space="preserve"> (2021).</w:t>
      </w:r>
      <w:r>
        <w:t xml:space="preserve"> </w:t>
      </w:r>
      <w:hyperlink r:id="rId101">
        <w:r>
          <w:rPr>
            <w:rStyle w:val="Hyperlink"/>
          </w:rPr>
          <w:t xml:space="preserve">Variations of carbon allocation and turnover time across tropical forests</w:t>
        </w:r>
      </w:hyperlink>
      <w:r>
        <w:t xml:space="preserve">.</w:t>
      </w:r>
      <w:r>
        <w:t xml:space="preserve"> </w:t>
      </w:r>
      <w:r>
        <w:rPr>
          <w:iCs/>
          <w:i/>
        </w:rPr>
        <w:t xml:space="preserve">Global Ecology and Biogeography</w:t>
      </w:r>
      <w:r>
        <w:t xml:space="preserve">, 30, 1271–1285.</w:t>
      </w:r>
    </w:p>
    <w:bookmarkEnd w:id="102"/>
    <w:bookmarkEnd w:id="103"/>
    <w:bookmarkEnd w:id="104"/>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98" Target="https://doi.org/10.1007/s00442-007-0938-1" TargetMode="External" /><Relationship Type="http://schemas.openxmlformats.org/officeDocument/2006/relationships/hyperlink" Id="rId96" Target="https://doi.org/10.1007/s00442-013-2846-x" TargetMode="External" /><Relationship Type="http://schemas.openxmlformats.org/officeDocument/2006/relationships/hyperlink" Id="rId71" Target="https://doi.org/10.1007/s00442-020-04760-3" TargetMode="External" /><Relationship Type="http://schemas.openxmlformats.org/officeDocument/2006/relationships/hyperlink" Id="rId63" Target="https://doi.org/10.1038/nplants.2015.139" TargetMode="External" /><Relationship Type="http://schemas.openxmlformats.org/officeDocument/2006/relationships/hyperlink" Id="rId78" Target="https://doi.org/10.1038/s41467-022-28824-5" TargetMode="External" /><Relationship Type="http://schemas.openxmlformats.org/officeDocument/2006/relationships/hyperlink" Id="rId65" Target="https://doi.org/10.1038/s41558-023-01776-4" TargetMode="External" /><Relationship Type="http://schemas.openxmlformats.org/officeDocument/2006/relationships/hyperlink" Id="rId92" Target="https://doi.org/10.1073/pnas.2116626119" TargetMode="External" /><Relationship Type="http://schemas.openxmlformats.org/officeDocument/2006/relationships/hyperlink" Id="rId57" Target="https://doi.org/10.1088/1748-9326/aa5968" TargetMode="External" /><Relationship Type="http://schemas.openxmlformats.org/officeDocument/2006/relationships/hyperlink" Id="rId69" Target="https://doi.org/10.1088/1748-9326/aa75d7" TargetMode="External" /><Relationship Type="http://schemas.openxmlformats.org/officeDocument/2006/relationships/hyperlink" Id="rId73" Target="https://doi.org/10.1111/1365-2745.14069" TargetMode="External" /><Relationship Type="http://schemas.openxmlformats.org/officeDocument/2006/relationships/hyperlink" Id="rId80" Target="https://doi.org/10.1111/btp.13270" TargetMode="External" /><Relationship Type="http://schemas.openxmlformats.org/officeDocument/2006/relationships/hyperlink" Id="rId59" Target="https://doi.org/10.1111/gcb.12712" TargetMode="External" /><Relationship Type="http://schemas.openxmlformats.org/officeDocument/2006/relationships/hyperlink" Id="rId61" Target="https://doi.org/10.1111/gcb.15982" TargetMode="External" /><Relationship Type="http://schemas.openxmlformats.org/officeDocument/2006/relationships/hyperlink" Id="rId87" Target="https://doi.org/10.1111/gcb.16466" TargetMode="External" /><Relationship Type="http://schemas.openxmlformats.org/officeDocument/2006/relationships/hyperlink" Id="rId101" Target="https://doi.org/10.1111/geb.13302" TargetMode="External" /><Relationship Type="http://schemas.openxmlformats.org/officeDocument/2006/relationships/hyperlink" Id="rId82" Target="https://doi.org/10.1111/nph.16996" TargetMode="External" /><Relationship Type="http://schemas.openxmlformats.org/officeDocument/2006/relationships/hyperlink" Id="rId85" Target="https://doi.org/10.1111/nph.17084" TargetMode="External" /><Relationship Type="http://schemas.openxmlformats.org/officeDocument/2006/relationships/hyperlink" Id="rId75" Target="https://doi.org/10.1111/nph.17187" TargetMode="External" /><Relationship Type="http://schemas.openxmlformats.org/officeDocument/2006/relationships/hyperlink" Id="rId67" Target="https://doi.org/10.1111/nph.17464" TargetMode="External" /><Relationship Type="http://schemas.openxmlformats.org/officeDocument/2006/relationships/hyperlink" Id="rId94" Target="https://doi.org/10.1111/nph.18539" TargetMode="External" /><Relationship Type="http://schemas.openxmlformats.org/officeDocument/2006/relationships/hyperlink" Id="rId90"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s00442-007-0938-1" TargetMode="External" /><Relationship Type="http://schemas.openxmlformats.org/officeDocument/2006/relationships/hyperlink" Id="rId96" Target="https://doi.org/10.1007/s00442-013-2846-x" TargetMode="External" /><Relationship Type="http://schemas.openxmlformats.org/officeDocument/2006/relationships/hyperlink" Id="rId71" Target="https://doi.org/10.1007/s00442-020-04760-3" TargetMode="External" /><Relationship Type="http://schemas.openxmlformats.org/officeDocument/2006/relationships/hyperlink" Id="rId63" Target="https://doi.org/10.1038/nplants.2015.139" TargetMode="External" /><Relationship Type="http://schemas.openxmlformats.org/officeDocument/2006/relationships/hyperlink" Id="rId78" Target="https://doi.org/10.1038/s41467-022-28824-5" TargetMode="External" /><Relationship Type="http://schemas.openxmlformats.org/officeDocument/2006/relationships/hyperlink" Id="rId65" Target="https://doi.org/10.1038/s41558-023-01776-4" TargetMode="External" /><Relationship Type="http://schemas.openxmlformats.org/officeDocument/2006/relationships/hyperlink" Id="rId92" Target="https://doi.org/10.1073/pnas.2116626119" TargetMode="External" /><Relationship Type="http://schemas.openxmlformats.org/officeDocument/2006/relationships/hyperlink" Id="rId57" Target="https://doi.org/10.1088/1748-9326/aa5968" TargetMode="External" /><Relationship Type="http://schemas.openxmlformats.org/officeDocument/2006/relationships/hyperlink" Id="rId69" Target="https://doi.org/10.1088/1748-9326/aa75d7" TargetMode="External" /><Relationship Type="http://schemas.openxmlformats.org/officeDocument/2006/relationships/hyperlink" Id="rId73" Target="https://doi.org/10.1111/1365-2745.14069" TargetMode="External" /><Relationship Type="http://schemas.openxmlformats.org/officeDocument/2006/relationships/hyperlink" Id="rId80" Target="https://doi.org/10.1111/btp.13270" TargetMode="External" /><Relationship Type="http://schemas.openxmlformats.org/officeDocument/2006/relationships/hyperlink" Id="rId59" Target="https://doi.org/10.1111/gcb.12712" TargetMode="External" /><Relationship Type="http://schemas.openxmlformats.org/officeDocument/2006/relationships/hyperlink" Id="rId61" Target="https://doi.org/10.1111/gcb.15982" TargetMode="External" /><Relationship Type="http://schemas.openxmlformats.org/officeDocument/2006/relationships/hyperlink" Id="rId87" Target="https://doi.org/10.1111/gcb.16466" TargetMode="External" /><Relationship Type="http://schemas.openxmlformats.org/officeDocument/2006/relationships/hyperlink" Id="rId101" Target="https://doi.org/10.1111/geb.13302" TargetMode="External" /><Relationship Type="http://schemas.openxmlformats.org/officeDocument/2006/relationships/hyperlink" Id="rId82" Target="https://doi.org/10.1111/nph.16996" TargetMode="External" /><Relationship Type="http://schemas.openxmlformats.org/officeDocument/2006/relationships/hyperlink" Id="rId85" Target="https://doi.org/10.1111/nph.17084" TargetMode="External" /><Relationship Type="http://schemas.openxmlformats.org/officeDocument/2006/relationships/hyperlink" Id="rId75" Target="https://doi.org/10.1111/nph.17187" TargetMode="External" /><Relationship Type="http://schemas.openxmlformats.org/officeDocument/2006/relationships/hyperlink" Id="rId67" Target="https://doi.org/10.1111/nph.17464" TargetMode="External" /><Relationship Type="http://schemas.openxmlformats.org/officeDocument/2006/relationships/hyperlink" Id="rId94" Target="https://doi.org/10.1111/nph.18539" TargetMode="External" /><Relationship Type="http://schemas.openxmlformats.org/officeDocument/2006/relationships/hyperlink" Id="rId90"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2025-03-21T16:21:51Z</dcterms:created>
  <dcterms:modified xsi:type="dcterms:W3CDTF">2025-03-21T16:21:51Z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