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41.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4989</w:t>
      </w:r>
      <w:r>
        <w:br/>
      </w:r>
      <w:r>
        <w:rPr>
          <w:bCs/>
          <w:b/>
        </w:rPr>
        <w:t xml:space="preserve">Number of References:</w:t>
      </w:r>
      <w:r>
        <w:t xml:space="preserve"> </w:t>
      </w:r>
      <w:r>
        <w:t xml:space="preserve">46</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Droughts are increasingly impacting forests worldwide, threatening their critical carbon sink.</w:t>
      </w:r>
      <w:r>
        <w:t xml:space="preserve"> </w:t>
      </w:r>
      <w:r>
        <w:t xml:space="preserve">Tree species adaptations to hot and dry conditions – for example, dry season deciduousness in tropical seasonal forests – might confer drought resistance, but such resistance may be variable across microenvironments and drought events.</w:t>
      </w:r>
      <w:r>
        <w:t xml:space="preserve"> </w:t>
      </w:r>
      <w:r>
        <w:t xml:space="preserve">We analysed dendrometer band measurements on 1820 trees across 30 species in a seasonally dry forest in</w:t>
      </w:r>
      <w:r>
        <w:t xml:space="preserve"> </w:t>
      </w:r>
      <w:r>
        <w:t xml:space="preserve">Thailand</w:t>
      </w:r>
      <w:r>
        <w:t xml:space="preserve"> </w:t>
      </w:r>
      <w:r>
        <w:t xml:space="preserve">to assess tree growth responses to two climatically distinct droughts.</w:t>
      </w:r>
      <w:r>
        <w:t xml:space="preserve"> </w:t>
      </w:r>
      <w:r>
        <w:t xml:space="preserve">Species and individuals exhibited a wide range of drought responses within each drought and inconsistent responses across droughts.</w:t>
      </w:r>
      <w:r>
        <w:t xml:space="preserve"> </w:t>
      </w:r>
      <w:r>
        <w:t xml:space="preserve">Deciduous species were more sensitive to early wet-season drought than evergreen species, and this difference was amplified in wetter microclimates.</w:t>
      </w:r>
      <w:r>
        <w:t xml:space="preserve"> </w:t>
      </w:r>
      <w:r>
        <w:t xml:space="preserve">Exposed trees were more sensitive, but presumed greater water access through larger size or wetter topographic positions buffered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Globally, intense drought is becoming more frequent, affecting forest demography, diversity, and carbon (C) cycling</w:t>
      </w:r>
      <w:r>
        <w:t xml:space="preserve"> </w:t>
      </w:r>
      <w:r>
        <w:t xml:space="preserve">(IPCC 2023)</w:t>
      </w:r>
      <w:r>
        <w:t xml:space="preserve">.</w:t>
      </w:r>
      <w:r>
        <w:t xml:space="preserve"> </w:t>
      </w:r>
      <w:r>
        <w:t xml:space="preserve">However, our ability to predict drought impacts on tree woody growth and resultant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While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w:t>
      </w:r>
      <w:r>
        <w:t xml:space="preserve"> </w:t>
      </w:r>
      <w:r>
        <w:rPr>
          <w:bCs/>
          <w:b/>
        </w:rPr>
        <w:t xml:space="preserve">refs?</w:t>
      </w:r>
      <w:r>
        <w:t xml:space="preserve"> </w:t>
      </w:r>
      <w:r>
        <w:t xml:space="preserve">)</w:t>
      </w:r>
      <w:r>
        <w:t xml:space="preserve">, droughts with different characteristics may in fact have very different effects on tree growth</w:t>
      </w:r>
      <w:r>
        <w:t xml:space="preserve"> </w:t>
      </w:r>
      <w:r>
        <w:t xml:space="preserve">(</w:t>
      </w:r>
      <w:r>
        <w:rPr>
          <w:bCs/>
          <w:b/>
        </w:rPr>
        <w:t xml:space="preserve">refs?</w:t>
      </w:r>
      <w:r>
        <w:t xml:space="preserve">)</w:t>
      </w:r>
      <w:r>
        <w:t xml:space="preserve">.</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w:t>
      </w:r>
      <w:r>
        <w:rPr>
          <w:bCs/>
          <w:b/>
        </w:rPr>
        <w:t xml:space="preserve">refs?</w:t>
      </w:r>
      <w:r>
        <w:t xml:space="preserve">)</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Finally, the microenvironments that individual trees experience influence growth responses to drought.</w:t>
      </w:r>
      <w:r>
        <w:t xml:space="preserve"> </w:t>
      </w:r>
      <w:r>
        <w:t xml:space="preserve"> </w:t>
      </w:r>
      <w:r>
        <w:t xml:space="preserve">Across horizontal axes, microenvironments defined by topographic and edaphic variation shape tree drought responses.</w:t>
      </w:r>
      <w:r>
        <w:t xml:space="preserve"> </w:t>
      </w:r>
      <w:r>
        <w:t xml:space="preserve">While habitats with relatively moist soils (e.g., low-lying topographic positions)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 </w:t>
      </w:r>
      <w:r>
        <w:t xml:space="preserve">or acclimatized</w:t>
      </w:r>
      <w:r>
        <w:t xml:space="preserve"> </w:t>
      </w:r>
      <w:r>
        <w:t xml:space="preserve">(</w:t>
      </w:r>
      <w:r>
        <w:rPr>
          <w:bCs/>
          <w:b/>
        </w:rPr>
        <w:t xml:space="preserve">refs?</w:t>
      </w:r>
      <w:r>
        <w:t xml:space="preserve">)</w:t>
      </w:r>
      <w:r>
        <w:t xml:space="preserve">.</w:t>
      </w:r>
      <w:r>
        <w:t xml:space="preserve"> </w:t>
      </w:r>
      <w:r>
        <w:t xml:space="preserve">Indeed, there are observations of trees near streams undergoing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Across vertical axes, trees of different sizes have their crowns and root systems in sometimes dramatically divergent microenvironments.</w:t>
      </w:r>
      <w:r>
        <w:t xml:space="preserve"> </w:t>
      </w:r>
      <w:r>
        <w:t xml:space="preserve">Aboveground, 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w:t>
      </w:r>
      <w:r>
        <w:t xml:space="preserve"> </w:t>
      </w:r>
      <w:r>
        <w:t xml:space="preserve">(</w:t>
      </w:r>
      <w:r>
        <w:rPr>
          <w:bCs/>
          <w:b/>
        </w:rPr>
        <w:t xml:space="preserve">refs?</w:t>
      </w:r>
      <w:r>
        <w:t xml:space="preserve">)</w:t>
      </w:r>
      <w:r>
        <w:t xml:space="preserve"> </w:t>
      </w:r>
      <w:r>
        <w:t xml:space="preserve">and thereby potential to access more reliable water sources</w:t>
      </w:r>
      <w:r>
        <w:t xml:space="preserve"> </w:t>
      </w:r>
      <w:r>
        <w:t xml:space="preserve">(</w:t>
      </w:r>
      <w:r>
        <w:rPr>
          <w:bCs/>
          <w:b/>
        </w:rPr>
        <w:t xml:space="preserve">refs?</w:t>
      </w:r>
      <w:r>
        <w:t xml:space="preserve">)</w:t>
      </w:r>
      <w:r>
        <w:t xml:space="preserve">.</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in press;</w:t>
      </w:r>
      <w:r>
        <w:t xml:space="preserve"> </w:t>
      </w:r>
      <w:r>
        <w:rPr>
          <w:bCs/>
          <w:b/>
        </w:rPr>
        <w:t xml:space="preserve">mcdowell_darcy_2015?</w:t>
      </w:r>
      <w:r>
        <w:t xml:space="preserve">)</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topographic location or tree size (and corresponding rooting volume), can buffer growth declines.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76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early 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 SPEI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consecutive months SPEI &lt;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8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 VPD anomaly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 T~max~ anomaly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7"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w:t>
      </w:r>
      <w:r>
        <w:t xml:space="preserve"> </w:t>
      </w:r>
      <w:r>
        <w:rPr>
          <w:bCs/>
          <w:b/>
        </w:rPr>
        <w:t xml:space="preserve">refs_ENSO?</w:t>
      </w:r>
      <w:r>
        <w:t xml:space="preserve">)</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1-month Standardised Precipitation Evapotranspiration Index (SPEI) values for each month in 2010 and 2015.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1-month Standardised Precipitation Evapotranspiration Index (SPEI) values for each month in 2010 and 2015.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based on two drought indices and corroborated by meteorological data, local expertise, and plot-level growth responses.</w:t>
      </w:r>
      <w:r>
        <w:t xml:space="preserve"> </w:t>
      </w:r>
      <w:r>
        <w:t xml:space="preserve">Within the dendroband timeseries, two ENSO events had occurred; 2010 was a moderate ENSO event while 2015 was a very strong ENSO event</w:t>
      </w:r>
      <w:r>
        <w:t xml:space="preserve"> </w:t>
      </w:r>
      <w:r>
        <w:t xml:space="preserve">(</w:t>
      </w:r>
      <w:r>
        <w:rPr>
          <w:bCs/>
          <w:b/>
        </w:rPr>
        <w:t xml:space="preserve">REF?</w:t>
      </w:r>
      <w:r>
        <w:t xml:space="preserve">)</w:t>
      </w:r>
      <w:r>
        <w:t xml:space="preserve">.</w:t>
      </w:r>
      <w:r>
        <w:t xml:space="preserve"> </w:t>
      </w:r>
      <w:r>
        <w:t xml:space="preserve"> </w:t>
      </w:r>
      <w:r>
        <w:t xml:space="preserve">We also calculate Standardised Precipitation-Evapotranspiration Index (SPEI) at the 1-month scale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two or more consecutive months with 1-month SPEI &lt; -1 also resulted in identification of 2010 and 2015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 </w:t>
      </w:r>
      <w:r>
        <w:t xml:space="preserve"> </w:t>
      </w:r>
      <w:r>
        <w:t xml:space="preserve">We note that although tree growth was unusally low in 2020, this year did not emerge as a drought year either in the examination of drought indicators or from expert knowledge.</w:t>
      </w:r>
    </w:p>
    <w:p>
      <w:pPr>
        <w:pStyle w:val="BodyText"/>
      </w:pPr>
      <w:r>
        <w:t xml:space="preserve">To characterise the two focal droughts, we used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rPr>
          <w:iCs/>
          <w:i/>
        </w:rPr>
        <w:t xml:space="preserve">(SPECIFY WHICH VARIABLES WERE OBTAINED FROM WHICH SOURCE, AND OTHER SOURCES.)</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rPr>
          <w:iCs/>
          <w:i/>
        </w:rPr>
        <w:t xml:space="preserve">(See</w:t>
      </w:r>
      <w:r>
        <w:rPr>
          <w:iCs/>
          <w:i/>
        </w:rPr>
        <w:t xml:space="preserve"> </w:t>
      </w:r>
      <w:hyperlink r:id="rId36">
        <w:r>
          <w:rPr>
            <w:rStyle w:val="Hyperlink"/>
            <w:iCs/>
            <w:i/>
          </w:rPr>
          <w:t xml:space="preserve">issue #28</w:t>
        </w:r>
      </w:hyperlink>
      <w:r>
        <w:rPr>
          <w:iCs/>
          <w:i/>
        </w:rPr>
        <w:t xml:space="preserve">)</w:t>
      </w:r>
      <w:r>
        <w:t xml:space="preserve"> </w:t>
      </w:r>
      <w:r>
        <w:t xml:space="preserve">To account for potential biases in dendrometer band increments from water-related growth or shrinkage, we also calculated growth occurrence using a zero-growth assumption</w:t>
      </w:r>
      <w:r>
        <w:t xml:space="preserve"> </w:t>
      </w:r>
      <w:r>
        <w:t xml:space="preserve">(Zweifel</w:t>
      </w:r>
      <w:r>
        <w:t xml:space="preserve"> </w:t>
      </w:r>
      <w:r>
        <w:rPr>
          <w:iCs/>
          <w:i/>
        </w:rPr>
        <w:t xml:space="preserve">et al.</w:t>
      </w:r>
      <w:r>
        <w:t xml:space="preserve"> </w:t>
      </w:r>
      <w:r>
        <w:t xml:space="preserve">2016)</w:t>
      </w:r>
      <w:r>
        <w:t xml:space="preserve">.</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(Chitra-Tarak</w:t>
      </w:r>
      <w:r>
        <w:t xml:space="preserve"> </w:t>
      </w:r>
      <w:r>
        <w:rPr>
          <w:iCs/>
          <w:i/>
        </w:rPr>
        <w:t xml:space="preserve">et al.</w:t>
      </w:r>
      <w:r>
        <w:t xml:space="preserve"> </w:t>
      </w:r>
      <w:r>
        <w:t xml:space="preserve">2015)</w:t>
      </w:r>
      <w:r>
        <w:t xml:space="preserve">.</w:t>
      </w:r>
      <w:r>
        <w:t xml:space="preserve"> </w:t>
      </w:r>
      <w:r>
        <w:t xml:space="preserve">Using a zero-growth model, we calculated growth occurrence as 1 under positive diameter change and any change &lt;=0 as 0.</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crown leaf loss at maximum loss across individuals in the species, with a score ranging from 1 to 4 where 1 is most evergreen and 4 is most deciduous.</w:t>
      </w:r>
      <w:r>
        <w:t xml:space="preserve"> </w:t>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7"/>
    <w:bookmarkStart w:id="55" w:name="results"/>
    <w:p>
      <w:pPr>
        <w:pStyle w:val="Heading1"/>
      </w:pPr>
      <w:r>
        <w:t xml:space="preserve">Results</w:t>
      </w:r>
    </w:p>
    <w:bookmarkStart w:id="38"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The 2010 drought peaked between February and April (dry season), with drought characteristics including lower precipitation, higher number of dry days, higher maximum temperature, and higher VPD relative to the long-term mean and 1-month SPEI values below -1.</w:t>
      </w:r>
      <w:r>
        <w:t xml:space="preserve"> </w:t>
      </w:r>
      <w:r>
        <w:t xml:space="preserve">In 2015, similar deviations occurred in May and June (early wet season), with 1-month SPEI in May reaching -2, the lowest in the the entire dendroband census time period.</w:t>
      </w:r>
    </w:p>
    <w:bookmarkEnd w:id="38"/>
    <w:bookmarkStart w:id="40" w:name="growth-timeseries-and-drought-responses"/>
    <w:p>
      <w:pPr>
        <w:pStyle w:val="Heading2"/>
      </w:pPr>
      <w:r>
        <w:t xml:space="preserve">Growth timeseries and drought responses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0.02</w:t>
      </w:r>
      <w:r>
        <w:t xml:space="preserve"> </w:t>
      </w:r>
      <m:oMath>
        <m:r>
          <m:rPr>
            <m:sty m:val="p"/>
          </m:rPr>
          <m:t>±</m:t>
        </m:r>
      </m:oMath>
      <w:r>
        <w:t xml:space="preserve"> </w:t>
      </w:r>
      <w:r>
        <w:t xml:space="preserve">0.03 mm.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mm)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mm) among the 30 species analysed.</w:t>
      </w:r>
      <w:r>
        <w:t xml:space="preserve"> </w:t>
      </w:r>
      <w:r>
        <w:rPr>
          <w:iCs/>
          <w:i/>
        </w:rPr>
        <w:t xml:space="preserve">(See</w:t>
      </w:r>
      <w:r>
        <w:rPr>
          <w:iCs/>
          <w:i/>
        </w:rPr>
        <w:t xml:space="preserve"> </w:t>
      </w:r>
      <w:hyperlink r:id="rId39">
        <w:r>
          <w:rPr>
            <w:rStyle w:val="Hyperlink"/>
            <w:iCs/>
            <w:i/>
          </w:rPr>
          <w:t xml:space="preserve">issue #27</w:t>
        </w:r>
      </w:hyperlink>
      <w:r>
        <w:rPr>
          <w:iCs/>
          <w:i/>
        </w:rPr>
        <w:t xml:space="preserve">)</w:t>
      </w:r>
    </w:p>
    <w:p>
      <w:pPr>
        <w:pStyle w:val="BodyText"/>
      </w:pPr>
      <w:r>
        <w:t xml:space="preserve">Drought years were associated with lower growth across the plot.</w:t>
      </w:r>
      <w:r>
        <w:t xml:space="preserve"> </w:t>
      </w:r>
      <w:r>
        <w:t xml:space="preserve">In 2010, the median annual increment was 0.02 mm, 13.33% lower than the median across all years.</w:t>
      </w:r>
      <w:r>
        <w:t xml:space="preserve"> </w:t>
      </w:r>
      <w:r>
        <w:t xml:space="preserve">The drought year 2015 had the lowest median annual increment 0.01 mm, 52.68% lower than the median across all years.</w:t>
      </w:r>
      <w:r>
        <w:t xml:space="preserve"> </w:t>
      </w:r>
      <w:r>
        <w:t xml:space="preserve">While median species responses to the 2010 drought were variable, all species had lower increment than a typical year in 2015.</w:t>
      </w:r>
      <w:r>
        <w:t xml:space="preserve"> </w:t>
      </w:r>
      <w:r>
        <w:t xml:space="preserve">Besides decrease in magnitude of growth, the proportion of trees with negative growth was also higher in the drought years (Fig S4).</w:t>
      </w:r>
      <w:r>
        <w:t xml:space="preserve"> </w:t>
      </w:r>
      <w:r>
        <w:t xml:space="preserve">Across the years, on average, 11.42% of the trees had negative growth, with a minimum of 6.7% in 2011.</w:t>
      </w:r>
      <w:r>
        <w:t xml:space="preserve"> </w:t>
      </w:r>
      <w:r>
        <w:t xml:space="preserve">The drought year 2015 had the maximum proportion of trees with negative growth in the timeseries, 22.57%.</w:t>
      </w:r>
      <w:r>
        <w:t xml:space="preserve"> </w:t>
      </w:r>
      <w:r>
        <w:rPr>
          <w:iCs/>
          <w:i/>
        </w:rPr>
        <w:t xml:space="preserve">(See</w:t>
      </w:r>
      <w:r>
        <w:rPr>
          <w:iCs/>
          <w:i/>
        </w:rPr>
        <w:t xml:space="preserve"> </w:t>
      </w:r>
      <w:hyperlink r:id="rId36">
        <w:r>
          <w:rPr>
            <w:rStyle w:val="Hyperlink"/>
            <w:iCs/>
            <w:i/>
          </w:rPr>
          <w:t xml:space="preserve">issue #28</w:t>
        </w:r>
      </w:hyperlink>
      <w:r>
        <w:rPr>
          <w:iCs/>
          <w:i/>
        </w:rPr>
        <w:t xml:space="preserve">)</w:t>
      </w:r>
    </w:p>
    <w:p>
      <w:pPr>
        <w:pStyle w:val="BodyText"/>
      </w:pPr>
      <w:r>
        <w:t xml:space="preserve">On average, trees had negative drought sensitivities for both droughts, but with considerable variation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 species-level sensitivities ranged from -0.09 for</w:t>
      </w:r>
      <w:r>
        <w:t xml:space="preserve"> </w:t>
      </w:r>
      <w:r>
        <w:rPr>
          <w:iCs/>
          <w:i/>
        </w:rPr>
        <w:t xml:space="preserve">Alphonsea ventricosa</w:t>
      </w:r>
      <w:r>
        <w:t xml:space="preserve"> </w:t>
      </w:r>
      <w:r>
        <w:t xml:space="preserve">to 0.07 for</w:t>
      </w:r>
      <w:r>
        <w:t xml:space="preserve"> </w:t>
      </w:r>
      <w:r>
        <w:rPr>
          <w:iCs/>
          <w:i/>
        </w:rPr>
        <w:t xml:space="preserve">Afzelia xylocarpa</w:t>
      </w:r>
      <w:r>
        <w:t xml:space="preserve">.</w:t>
      </w:r>
      <w:r>
        <w:t xml:space="preserve"> </w:t>
      </w:r>
      <w:r>
        <w:t xml:space="preserve">In 2015, these ranged from -0.11 for</w:t>
      </w:r>
      <w:r>
        <w:t xml:space="preserve"> </w:t>
      </w:r>
      <w:r>
        <w:rPr>
          <w:iCs/>
          <w:i/>
        </w:rPr>
        <w:t xml:space="preserve">Dimocarpus longan</w:t>
      </w:r>
      <w:r>
        <w:t xml:space="preserve"> </w:t>
      </w:r>
      <w:r>
        <w:t xml:space="preserve">to 0 for</w:t>
      </w:r>
      <w:r>
        <w:t xml:space="preserve"> </w:t>
      </w:r>
      <w:r>
        <w:rPr>
          <w:iCs/>
          <w:i/>
        </w:rPr>
        <w:t xml:space="preserve">Mitrephora thorelii</w:t>
      </w:r>
      <w:r>
        <w:t xml:space="preserve">.</w:t>
      </w:r>
    </w:p>
    <w:bookmarkEnd w:id="40"/>
    <w:bookmarkStart w:id="45" w:name="species-effects"/>
    <w:p>
      <w:pPr>
        <w:pStyle w:val="Heading2"/>
      </w:pPr>
      <w:r>
        <w:t xml:space="preserve">Species effects</w:t>
      </w:r>
    </w:p>
    <w:p>
      <w:pPr>
        <w:pStyle w:val="FirstParagraph"/>
      </w:pPr>
      <w:r>
        <w:t xml:space="preserve">Species median sensitivities in 2010 and 2015 were not correlated with each other (Pearson’s correlation coefficient r = 0.1, p = 0.6, Fig S5) but on average had lower mean and median sensitivities in 2015 than in 2010 (Fig S5), in alignment with median sensitivities across all trees.</w:t>
      </w:r>
    </w:p>
    <w:p>
      <w:pPr>
        <w:pStyle w:val="BodyText"/>
      </w:pPr>
      <w:r>
        <w:t xml:space="preserve">Deciduousness species had lower negative sensitivities in 2015, but not in 2010 (Fig 3a).</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2" name="Picture"/>
            <a:graphic>
              <a:graphicData uri="http://schemas.openxmlformats.org/drawingml/2006/picture">
                <pic:pic>
                  <pic:nvPicPr>
                    <pic:cNvPr descr="display/Fig3.png" id="43" name="Picture"/>
                    <pic:cNvPicPr>
                      <a:picLocks noChangeArrowheads="1" noChangeAspect="1"/>
                    </pic:cNvPicPr>
                  </pic:nvPicPr>
                  <pic:blipFill>
                    <a:blip r:embed="rId4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4">
        <w:r>
          <w:rPr>
            <w:rStyle w:val="Hyperlink"/>
          </w:rPr>
          <w:t xml:space="preserve">https://github.com/forestgeo/growth-precip-thailand/issues/12</w:t>
        </w:r>
      </w:hyperlink>
    </w:p>
    <w:bookmarkEnd w:id="45"/>
    <w:bookmarkStart w:id="54" w:name="microenvironment-and-individual-effects"/>
    <w:p>
      <w:pPr>
        <w:pStyle w:val="Heading2"/>
      </w:pPr>
      <w:r>
        <w:t xml:space="preserve">Microenvironment and individual effects</w:t>
      </w:r>
    </w:p>
    <w:p>
      <w:pPr>
        <w:pStyle w:val="FirstParagraph"/>
      </w:pPr>
      <w:r>
        <w:t xml:space="preserve">Individual tree responses to drought were not correlated with each other (Fig S6).</w:t>
      </w:r>
    </w:p>
    <w:p>
      <w:pPr>
        <w:pStyle w:val="BodyText"/>
      </w:pPr>
      <w:r>
        <w:t xml:space="preserve">TWI had no significant on sensitivity in 2010 but a positive effect in 2015.</w:t>
      </w:r>
      <w:r>
        <w:t xml:space="preserve"> </w:t>
      </w:r>
      <w:r>
        <w:t xml:space="preserve">Specifically, 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differing effects of TWI on sensitivity in the two droughts, along with the influence of deciduousness, were confirmed by models that controlled for crown exposure and DBH as well as species variation in intercept and slopes (Fig 4a).</w:t>
      </w:r>
      <w:r>
        <w:t xml:space="preserve"> </w:t>
      </w:r>
      <w:r>
        <w:t xml:space="preserve">These models showed small negative sensitivities in wetter sites in 2010 (median effect =-0.04, 90% CI -0.09, 0.02), but a strong positive effect of TWI in 2015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increase with TWI (Fig 4c).</w:t>
      </w:r>
      <w:r>
        <w:t xml:space="preserve"> </w:t>
      </w:r>
      <w:r>
        <w:t xml:space="preserve">On the other hand, neither the mean sensitivities across species nor their response to TWI were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7" name="Picture"/>
            <a:graphic>
              <a:graphicData uri="http://schemas.openxmlformats.org/drawingml/2006/picture">
                <pic:pic>
                  <pic:nvPicPr>
                    <pic:cNvPr descr="display/Fig4.png" id="48" name="Picture"/>
                    <pic:cNvPicPr>
                      <a:picLocks noChangeArrowheads="1" noChangeAspect="1"/>
                    </pic:cNvPicPr>
                  </pic:nvPicPr>
                  <pic:blipFill>
                    <a:blip r:embed="rId46"/>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9">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DBH was a significant predictor of crown exposure, with larger DBH associated with higher exposure categories in 2010 (median effect =4.02, 90% CI 3.75, 4.29) and 2015 (median effect =4.2, 90% CI 3.92, 4.49) (Fig 5a).</w:t>
      </w:r>
      <w:r>
        <w:t xml:space="preserve"> </w:t>
      </w:r>
      <w:r>
        <w:t xml:space="preserve">Controlling for this direct effect of exposure, the remaining effect of DBH</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51" name="Picture"/>
            <a:graphic>
              <a:graphicData uri="http://schemas.openxmlformats.org/drawingml/2006/picture">
                <pic:pic>
                  <pic:nvPicPr>
                    <pic:cNvPr descr="display/Fig5.png" id="52" name="Picture"/>
                    <pic:cNvPicPr>
                      <a:picLocks noChangeArrowheads="1" noChangeAspect="1"/>
                    </pic:cNvPicPr>
                  </pic:nvPicPr>
                  <pic:blipFill>
                    <a:blip r:embed="rId50"/>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3">
        <w:r>
          <w:rPr>
            <w:rStyle w:val="Hyperlink"/>
          </w:rPr>
          <w:t xml:space="preserve">https://github.com/forestgeo/growth-precip-thailand/issues/14</w:t>
        </w:r>
      </w:hyperlink>
    </w:p>
    <w:bookmarkEnd w:id="54"/>
    <w:bookmarkEnd w:id="55"/>
    <w:bookmarkStart w:id="56" w:name="discussion"/>
    <w:p>
      <w:pPr>
        <w:pStyle w:val="Heading1"/>
      </w:pPr>
      <w:r>
        <w:t xml:space="preserve">Discussion</w:t>
      </w:r>
    </w:p>
    <w:p>
      <w:pPr>
        <w:pStyle w:val="FirstParagraph"/>
      </w:pPr>
      <w:r>
        <w:t xml:space="preserve">We show that, at least in one tropical seasonal forest, the drought sensitivity of tree growth is jointly and interactively shaped by drought characteristics, species adaptations, and local environmental conditions (Table 1).</w:t>
      </w:r>
      <w:r>
        <w:t xml:space="preserve"> </w:t>
      </w:r>
      <w:r>
        <w:t xml:space="preserve">Analysing two droughts in a 14-year dendrometer band timeseries, we found lower-than-average growth in drought years, reflecting in lower plot-level growth (Fig 2).</w:t>
      </w:r>
      <w:r>
        <w:t xml:space="preserve"> </w:t>
      </w:r>
      <w:r>
        <w:t xml:space="preserve">Comparing 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drought in the early wet season (2015) elicited stronger responses across trees, especially deciduous species that are expected to have stronger seasonality in growth phenology (Fig 3).</w:t>
      </w:r>
      <w:r>
        <w:t xml:space="preserve"> </w:t>
      </w:r>
      <w:r>
        <w:t xml:space="preserve">Interestingly, in 2015 (but not 2010), evergreen and deciduous species had divergent responses along a wetness gradient; evergreen trees fared better and deciduous species suffered worse declines in wetter sites (Fig 3b, Fig 4b).</w:t>
      </w:r>
      <w:r>
        <w:t xml:space="preserve"> </w:t>
      </w:r>
      <w:r>
        <w:t xml:space="preserve">While trees with more exposed crowns were consistently more sensitive to drought, additional effects of DBH – presumably including rooting volume and depth – were dissimilar between the drought events (Fig 4a).</w:t>
      </w:r>
      <w:r>
        <w:t xml:space="preserve"> </w:t>
      </w:r>
      <w:r>
        <w:t xml:space="preserve">In other words, water availability buffered exposure-associated growth declines through different mechanisms in the two different droughts; larger trees (with likely deeper roots) fared better in the dry-season drought while trees in wetter sites suffered smaller growth declines in the wet-season drought (Fig 5).</w:t>
      </w:r>
      <w:r>
        <w:t xml:space="preserve"> </w:t>
      </w:r>
      <w:r>
        <w:t xml:space="preserve">Taken together, these results indicate that joint and interactive effects of drought characteristics, species traits, and individual microenvironments produce enormous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representative spatial and ecological variation realistically and beyond the scope of previous such analyses, we are limited in quantitatively analysing differences associated with drought characteristics because of low sample size.</w:t>
      </w:r>
      <w:r>
        <w:t xml:space="preserve"> </w:t>
      </w:r>
      <w:r>
        <w:t xml:space="preserve"> </w:t>
      </w:r>
      <w:r>
        <w:t xml:space="preserve"> </w:t>
      </w:r>
      <w:r>
        <w:t xml:space="preserve">The two droughts analyzed differed in multiple aspects, including ENSO strength, seasonal timing, and magnitude and duration of meteorological extremes and anomalies (Fig. 1).</w:t>
      </w:r>
      <w:r>
        <w:br/>
      </w:r>
      <w:r>
        <w:t xml:space="preserve">Thus, quantitative analyses parsing out the specific effects of drought characteristics (e.g., timing, degree of anomaly) are currently impossible.</w:t>
      </w:r>
      <w:r>
        <w:t xml:space="preserve"> </w:t>
      </w:r>
      <w:r>
        <w:t xml:space="preserve">While the meteorological data justify our characterization of these droughts as</w:t>
      </w:r>
      <w:r>
        <w:t xml:space="preserve"> </w:t>
      </w:r>
      <w:r>
        <w:t xml:space="preserve">“</w:t>
      </w:r>
      <w:r>
        <w:t xml:space="preserve">dry-season</w:t>
      </w:r>
      <w:r>
        <w:t xml:space="preserve">”</w:t>
      </w:r>
      <w:r>
        <w:t xml:space="preserve"> </w:t>
      </w:r>
      <w:r>
        <w:t xml:space="preserve">(2010) and</w:t>
      </w:r>
      <w:r>
        <w:t xml:space="preserve"> </w:t>
      </w:r>
      <w:r>
        <w:t xml:space="preserve">“</w:t>
      </w:r>
      <w:r>
        <w:t xml:space="preserve">wet-season</w:t>
      </w:r>
      <w:r>
        <w:t xml:space="preserve">”</w:t>
      </w:r>
      <w:r>
        <w:t xml:space="preserve"> </w:t>
      </w:r>
      <w:r>
        <w:t xml:space="preserve">(2015), growth records from numerous additional droughts would be necessary to rigorously generalize differences based on the seasonality of drought effects.</w:t>
      </w:r>
      <w:r>
        <w:t xml:space="preserve"> </w:t>
      </w:r>
      <w:r>
        <w:t xml:space="preserve">Given the relative rarity of drought and the lack of multi-decadal records of annual tree growth for diverse tropical forests, there is currently no data set on which such an analysis could be performed.</w:t>
      </w:r>
      <w:r>
        <w:t xml:space="preserve"> </w:t>
      </w:r>
      <w:r>
        <w:t xml:space="preserve">In temperate and boreal forests, where the majority of species form annual growth rings, tree-ring analysis can disentangle species and individual sensitivities to larger numbers of droughts (although sample sizes still remain limited).</w:t>
      </w:r>
      <w:r>
        <w:t xml:space="preserve"> </w:t>
      </w:r>
      <w:r>
        <w:rPr>
          <w:iCs/>
          <w:i/>
        </w:rPr>
        <w:t xml:space="preserve">(KAT paused editing here.)</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dendrometer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2015-2016 wet season ENSO drought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 S5).</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6"/>
    <w:bookmarkStart w:id="57"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7"/>
    <w:bookmarkStart w:id="139" w:name="references"/>
    <w:p>
      <w:pPr>
        <w:pStyle w:val="Heading1"/>
      </w:pPr>
      <w:r>
        <w:t xml:space="preserve">References</w:t>
      </w:r>
    </w:p>
    <w:bookmarkStart w:id="138" w:name="refs"/>
    <w:bookmarkStart w:id="59"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8">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9"/>
    <w:bookmarkStart w:id="61"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0">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1"/>
    <w:bookmarkStart w:id="63" w:name="ref-bennett_larger_2015"/>
    <w:p>
      <w:pPr>
        <w:pStyle w:val="Bibliography"/>
      </w:pPr>
      <w:r>
        <w:t xml:space="preserve">Bennett, A.C., McDowell, N.G., Allen, C.D. &amp; Anderson-Teixeira, K.J. (2015).</w:t>
      </w:r>
      <w:r>
        <w:t xml:space="preserve"> </w:t>
      </w:r>
      <w:hyperlink r:id="rId62">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3"/>
    <w:bookmarkStart w:id="65"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4">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5"/>
    <w:bookmarkStart w:id="67"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6">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7"/>
    <w:bookmarkStart w:id="69" w:name="ref-bürkner_brms_2017"/>
    <w:p>
      <w:pPr>
        <w:pStyle w:val="Bibliography"/>
      </w:pPr>
      <w:r>
        <w:t xml:space="preserve">Bürkner, P.-C. (2017).</w:t>
      </w:r>
      <w:r>
        <w:t xml:space="preserve"> </w:t>
      </w:r>
      <w:hyperlink r:id="rId68">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69"/>
    <w:bookmarkStart w:id="70"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0"/>
    <w:bookmarkStart w:id="72" w:name="ref-chitra-tarak_it_2015"/>
    <w:p>
      <w:pPr>
        <w:pStyle w:val="Bibliography"/>
      </w:pPr>
      <w:r>
        <w:t xml:space="preserve">Chitra-Tarak, R., Ruiz, L., Pulla, S., Dattaraja, H.S., Suresh, H.S. &amp; Sukumar, R. (2015).</w:t>
      </w:r>
      <w:r>
        <w:t xml:space="preserve"> </w:t>
      </w:r>
      <w:hyperlink r:id="rId71">
        <w:r>
          <w:rPr>
            <w:rStyle w:val="Hyperlink"/>
          </w:rPr>
          <w:t xml:space="preserve">And yet it shrinks:</w:t>
        </w:r>
        <w:r>
          <w:rPr>
            <w:rStyle w:val="Hyperlink"/>
          </w:rPr>
          <w:t xml:space="preserve"> </w:t>
        </w:r>
        <w:r>
          <w:rPr>
            <w:rStyle w:val="Hyperlink"/>
          </w:rPr>
          <w:t xml:space="preserve">A</w:t>
        </w:r>
        <w:r>
          <w:rPr>
            <w:rStyle w:val="Hyperlink"/>
          </w:rPr>
          <w:t xml:space="preserve"> </w:t>
        </w:r>
        <w:r>
          <w:rPr>
            <w:rStyle w:val="Hyperlink"/>
          </w:rPr>
          <w:t xml:space="preserve">novel method for correcting bias in forest tree growth estimates caused by water-induced fluctuations</w:t>
        </w:r>
      </w:hyperlink>
      <w:r>
        <w:t xml:space="preserve">.</w:t>
      </w:r>
      <w:r>
        <w:t xml:space="preserve"> </w:t>
      </w:r>
      <w:r>
        <w:rPr>
          <w:iCs/>
          <w:i/>
        </w:rPr>
        <w:t xml:space="preserve">Forest Ecology and Management</w:t>
      </w:r>
      <w:r>
        <w:t xml:space="preserve">, 336, 129–136.</w:t>
      </w:r>
    </w:p>
    <w:bookmarkEnd w:id="72"/>
    <w:bookmarkStart w:id="74"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3">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4"/>
    <w:bookmarkStart w:id="76" w:name="ref-clark_annual_2021"/>
    <w:p>
      <w:pPr>
        <w:pStyle w:val="Bibliography"/>
      </w:pPr>
      <w:r>
        <w:t xml:space="preserve">Clark, D.A., Clark, D.B. &amp; Oberbauer, S.F. (2021).</w:t>
      </w:r>
      <w:r>
        <w:t xml:space="preserve"> </w:t>
      </w:r>
      <w:hyperlink r:id="rId75">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6"/>
    <w:bookmarkStart w:id="78" w:name="ref-clark_annual_2010"/>
    <w:p>
      <w:pPr>
        <w:pStyle w:val="Bibliography"/>
      </w:pPr>
      <w:r>
        <w:t xml:space="preserve">Clark, D.B., Clark, D.A. &amp; Oberbauer, S.F. (2010).</w:t>
      </w:r>
      <w:r>
        <w:t xml:space="preserve"> </w:t>
      </w:r>
      <w:hyperlink r:id="rId77">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8"/>
    <w:bookmarkStart w:id="80" w:name="ref-dahinden_future_2017"/>
    <w:p>
      <w:pPr>
        <w:pStyle w:val="Bibliography"/>
      </w:pPr>
      <w:r>
        <w:t xml:space="preserve">Dahinden, F., Fischer, E.M. &amp; Knutti, R. (2017).</w:t>
      </w:r>
      <w:r>
        <w:t xml:space="preserve"> </w:t>
      </w:r>
      <w:hyperlink r:id="rId79">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0"/>
    <w:bookmarkStart w:id="82" w:name="ref-desouza_drought_2020"/>
    <w:p>
      <w:pPr>
        <w:pStyle w:val="Bibliography"/>
      </w:pPr>
      <w:r>
        <w:t xml:space="preserve">De Souza, B.C., Carvalho, E.C.D., Oliveira, R.S., De Araujo, F.S., De Lima, A.L.A. &amp; Rodal, M.J.N. (2020).</w:t>
      </w:r>
      <w:r>
        <w:t xml:space="preserve"> </w:t>
      </w:r>
      <w:hyperlink r:id="rId81">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2"/>
    <w:bookmarkStart w:id="84" w:name="ref-fernández-de-uña_role_inpress"/>
    <w:p>
      <w:pPr>
        <w:pStyle w:val="Bibliography"/>
      </w:pPr>
      <w:r>
        <w:t xml:space="preserve">Fernández-de-Uña, L., Martínez-Vilalta, J., Poyatos, R., Mencuccini, M. &amp; McDowell, N.G. (in press).</w:t>
      </w:r>
      <w:r>
        <w:t xml:space="preserve"> </w:t>
      </w:r>
      <w:hyperlink r:id="rId83">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n/a.</w:t>
      </w:r>
    </w:p>
    <w:bookmarkEnd w:id="84"/>
    <w:bookmarkStart w:id="86" w:name="ref-garcía-cervigón_climate_2020"/>
    <w:p>
      <w:pPr>
        <w:pStyle w:val="Bibliography"/>
      </w:pPr>
      <w:r>
        <w:t xml:space="preserve">García-Cervigón, A.I., Camarero, J.J., Cueva, E., Espinosa, C.I. &amp; Escudero, A. (2020).</w:t>
      </w:r>
      <w:r>
        <w:t xml:space="preserve"> </w:t>
      </w:r>
      <w:hyperlink r:id="rId85">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86"/>
    <w:bookmarkStart w:id="88"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87">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88"/>
    <w:bookmarkStart w:id="90"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89">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0"/>
    <w:bookmarkStart w:id="92"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1">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2"/>
    <w:bookmarkStart w:id="94" w:name="ref-ipcc_climate_2023"/>
    <w:p>
      <w:pPr>
        <w:pStyle w:val="Bibliography"/>
      </w:pPr>
      <w:r>
        <w:t xml:space="preserve">IPCC. (2023).</w:t>
      </w:r>
      <w:r>
        <w:t xml:space="preserve"> </w:t>
      </w:r>
      <w:hyperlink r:id="rId93">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4"/>
    <w:bookmarkStart w:id="96"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95">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96"/>
    <w:bookmarkStart w:id="97"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97"/>
    <w:bookmarkStart w:id="99" w:name="ref-liu_drought_2022"/>
    <w:p>
      <w:pPr>
        <w:pStyle w:val="Bibliography"/>
      </w:pPr>
      <w:r>
        <w:t xml:space="preserve">Liu, D., Wang, T., Peñuelas, J. &amp; Piao, S. (2022).</w:t>
      </w:r>
      <w:r>
        <w:t xml:space="preserve"> </w:t>
      </w:r>
      <w:hyperlink r:id="rId98">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99"/>
    <w:bookmarkStart w:id="101" w:name="ref-luo_tropical_2022"/>
    <w:p>
      <w:pPr>
        <w:pStyle w:val="Bibliography"/>
      </w:pPr>
      <w:r>
        <w:t xml:space="preserve">Luo, X. &amp; Keenan, T.F. (2022).</w:t>
      </w:r>
      <w:r>
        <w:t xml:space="preserve"> </w:t>
      </w:r>
      <w:hyperlink r:id="rId100">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1"/>
    <w:bookmarkStart w:id="103" w:name="ref-ma_tree_2023"/>
    <w:p>
      <w:pPr>
        <w:pStyle w:val="Bibliography"/>
      </w:pPr>
      <w:r>
        <w:t xml:space="preserve">Ma, Q., Su, Y., Niu, C., Ma, Q., Hu, T., Luo, X.,</w:t>
      </w:r>
      <w:r>
        <w:t xml:space="preserve"> </w:t>
      </w:r>
      <w:r>
        <w:rPr>
          <w:iCs/>
          <w:i/>
        </w:rPr>
        <w:t xml:space="preserve">et al.</w:t>
      </w:r>
      <w:r>
        <w:t xml:space="preserve"> (2023).</w:t>
      </w:r>
      <w:r>
        <w:t xml:space="preserve"> </w:t>
      </w:r>
      <w:hyperlink r:id="rId102">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03"/>
    <w:bookmarkStart w:id="105"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4">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5"/>
    <w:bookmarkStart w:id="106" w:name="ref-muller-landau_metal_2008"/>
    <w:p>
      <w:pPr>
        <w:pStyle w:val="Bibliography"/>
      </w:pPr>
      <w:r>
        <w:t xml:space="preserve">Muller-Landau, H.C. (2008). Metal</w:t>
      </w:r>
      <w:r>
        <w:t xml:space="preserve"> </w:t>
      </w:r>
      <w:r>
        <w:t xml:space="preserve">Band Dendrometer Protocol</w:t>
      </w:r>
      <w:r>
        <w:t xml:space="preserve">.</w:t>
      </w:r>
    </w:p>
    <w:bookmarkEnd w:id="106"/>
    <w:bookmarkStart w:id="108"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7">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8"/>
    <w:bookmarkStart w:id="110" w:name="ref-oliveira_linking_2021"/>
    <w:p>
      <w:pPr>
        <w:pStyle w:val="Bibliography"/>
      </w:pPr>
      <w:r>
        <w:t xml:space="preserve">Oliveira, R.S., Eller, C.B., Barros, F. de V., Hirota, M., Brum, M. &amp; Bittencourt, P. (2021).</w:t>
      </w:r>
      <w:r>
        <w:t xml:space="preserve"> </w:t>
      </w:r>
      <w:hyperlink r:id="rId109">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10"/>
    <w:bookmarkStart w:id="111"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1"/>
    <w:bookmarkStart w:id="113" w:name="ref-scharnweber_confessions_2019"/>
    <w:p>
      <w:pPr>
        <w:pStyle w:val="Bibliography"/>
      </w:pPr>
      <w:r>
        <w:t xml:space="preserve">Scharnweber, T., Heinze, L., Cruz-García, R., van der Maaten-Theunissen, M. &amp; Wilmking, M. (2019).</w:t>
      </w:r>
      <w:r>
        <w:t xml:space="preserve"> </w:t>
      </w:r>
      <w:hyperlink r:id="rId112">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3"/>
    <w:bookmarkStart w:id="115"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4">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5"/>
    <w:bookmarkStart w:id="117" w:name="ref-trugman_why_2021"/>
    <w:p>
      <w:pPr>
        <w:pStyle w:val="Bibliography"/>
      </w:pPr>
      <w:r>
        <w:t xml:space="preserve">Trugman, A.T., Anderegg, L.D.L., Anderegg, W.R.L., Das, A.J. &amp; Stephenson, N.L. (2021).</w:t>
      </w:r>
      <w:r>
        <w:t xml:space="preserve"> </w:t>
      </w:r>
      <w:hyperlink r:id="rId116">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7"/>
    <w:bookmarkStart w:id="119" w:name="ref-vasey_intraspecific_2022"/>
    <w:p>
      <w:pPr>
        <w:pStyle w:val="Bibliography"/>
      </w:pPr>
      <w:r>
        <w:t xml:space="preserve">Vasey, G.L., Weisberg, P.J. &amp; Urza, A.K. (2022).</w:t>
      </w:r>
      <w:r>
        <w:t xml:space="preserve"> </w:t>
      </w:r>
      <w:hyperlink r:id="rId118">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9"/>
    <w:bookmarkStart w:id="120"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0"/>
    <w:bookmarkStart w:id="122" w:name="ref-vicente-serrano_multiscalar_2010"/>
    <w:p>
      <w:pPr>
        <w:pStyle w:val="Bibliography"/>
      </w:pPr>
      <w:r>
        <w:t xml:space="preserve">Vicente-Serrano, S.M., Beguería, S. &amp; López-Moreno, J.I. (2010).</w:t>
      </w:r>
      <w:r>
        <w:t xml:space="preserve"> </w:t>
      </w:r>
      <w:hyperlink r:id="rId121">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2"/>
    <w:bookmarkStart w:id="124" w:name="ref-vico_how_2017a"/>
    <w:p>
      <w:pPr>
        <w:pStyle w:val="Bibliography"/>
      </w:pPr>
      <w:r>
        <w:t xml:space="preserve">Vico, G., Dralle, D., Feng, X., Thompson, S. &amp; Manzoni, S. (2017).</w:t>
      </w:r>
      <w:r>
        <w:t xml:space="preserve"> </w:t>
      </w:r>
      <w:hyperlink r:id="rId123">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4"/>
    <w:bookmarkStart w:id="126"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5">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6"/>
    <w:bookmarkStart w:id="128" w:name="ref-vlam_temperature_2014"/>
    <w:p>
      <w:pPr>
        <w:pStyle w:val="Bibliography"/>
      </w:pPr>
      <w:r>
        <w:t xml:space="preserve">Vlam, M., Baker, P.J., Bunyavejchewin, S. &amp; Zuidema, P.A. (2014).</w:t>
      </w:r>
      <w:r>
        <w:t xml:space="preserve"> </w:t>
      </w:r>
      <w:hyperlink r:id="rId127">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8"/>
    <w:bookmarkStart w:id="130" w:name="ref-williams_deciduousness_2008"/>
    <w:p>
      <w:pPr>
        <w:pStyle w:val="Bibliography"/>
      </w:pPr>
      <w:r>
        <w:t xml:space="preserve">Williams, L.J., Bunyavejchewin, S. &amp; Baker, P.J. (2008).</w:t>
      </w:r>
      <w:r>
        <w:t xml:space="preserve"> </w:t>
      </w:r>
      <w:hyperlink r:id="rId129">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0"/>
    <w:bookmarkStart w:id="131"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1"/>
    <w:bookmarkStart w:id="133"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2">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3"/>
    <w:bookmarkStart w:id="135" w:name="ref-zuleta_droughtinduced_2017"/>
    <w:p>
      <w:pPr>
        <w:pStyle w:val="Bibliography"/>
      </w:pPr>
      <w:r>
        <w:t xml:space="preserve">Zuleta, D., Duque, A., Cardenas, D., Muller-Landau, H.C. &amp; Davies, S.J. (2017).</w:t>
      </w:r>
      <w:r>
        <w:t xml:space="preserve"> </w:t>
      </w:r>
      <w:hyperlink r:id="rId134">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5"/>
    <w:bookmarkStart w:id="137" w:name="ref-zweifel_are_2016"/>
    <w:p>
      <w:pPr>
        <w:pStyle w:val="Bibliography"/>
      </w:pPr>
      <w:r>
        <w:t xml:space="preserve">Zweifel, R., Haeni, M., Buchmann, N. &amp; Eugster, W. (2016).</w:t>
      </w:r>
      <w:r>
        <w:t xml:space="preserve"> </w:t>
      </w:r>
      <w:hyperlink r:id="rId136">
        <w:r>
          <w:rPr>
            <w:rStyle w:val="Hyperlink"/>
          </w:rPr>
          <w:t xml:space="preserve">Are trees able to grow in periods of stem shrinkage?</w:t>
        </w:r>
      </w:hyperlink>
      <w:r>
        <w:t xml:space="preserve"> </w:t>
      </w:r>
      <w:r>
        <w:rPr>
          <w:iCs/>
          <w:i/>
        </w:rPr>
        <w:t xml:space="preserve">New Phytologist</w:t>
      </w:r>
      <w:r>
        <w:t xml:space="preserve">, 211, 839–849.</w:t>
      </w:r>
    </w:p>
    <w:bookmarkEnd w:id="137"/>
    <w:bookmarkEnd w:id="138"/>
    <w:bookmarkEnd w:id="139"/>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107" Target="https://doi.org/10.1002/2017GL076521" TargetMode="External" /><Relationship Type="http://schemas.openxmlformats.org/officeDocument/2006/relationships/hyperlink" Id="rId134"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27" Target="https://doi.org/10.1007/s00442-013-2846-x" TargetMode="External" /><Relationship Type="http://schemas.openxmlformats.org/officeDocument/2006/relationships/hyperlink" Id="rId81" Target="https://doi.org/10.1007/s00442-020-04760-3" TargetMode="External" /><Relationship Type="http://schemas.openxmlformats.org/officeDocument/2006/relationships/hyperlink" Id="rId112" Target="https://doi.org/10.1016/j.dendro.2019.04.001" TargetMode="External" /><Relationship Type="http://schemas.openxmlformats.org/officeDocument/2006/relationships/hyperlink" Id="rId71" Target="https://doi.org/10.1016/j.foreco.2014.10.007" TargetMode="External" /><Relationship Type="http://schemas.openxmlformats.org/officeDocument/2006/relationships/hyperlink" Id="rId116" Target="https://doi.org/10.1016/j.tree.2021.02.001" TargetMode="External" /><Relationship Type="http://schemas.openxmlformats.org/officeDocument/2006/relationships/hyperlink" Id="rId93" Target="https://doi.org/10.1017/9781009157896" TargetMode="External" /><Relationship Type="http://schemas.openxmlformats.org/officeDocument/2006/relationships/hyperlink" Id="rId75" Target="https://doi.org/10.1029/2021JG006557" TargetMode="External" /><Relationship Type="http://schemas.openxmlformats.org/officeDocument/2006/relationships/hyperlink" Id="rId62" Target="https://doi.org/10.1038/nplants.2015.139" TargetMode="External" /><Relationship Type="http://schemas.openxmlformats.org/officeDocument/2006/relationships/hyperlink" Id="rId100" Target="https://doi.org/10.1038/s41467-022-28824-5" TargetMode="External" /><Relationship Type="http://schemas.openxmlformats.org/officeDocument/2006/relationships/hyperlink" Id="rId102" Target="https://doi.org/10.1038/s41467-023-43083-8" TargetMode="External" /><Relationship Type="http://schemas.openxmlformats.org/officeDocument/2006/relationships/hyperlink" Id="rId64" Target="https://doi.org/10.1038/s41558-023-01776-4" TargetMode="External" /><Relationship Type="http://schemas.openxmlformats.org/officeDocument/2006/relationships/hyperlink" Id="rId58"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98" Target="https://doi.org/10.1038/s41561-022-01026-w" TargetMode="External" /><Relationship Type="http://schemas.openxmlformats.org/officeDocument/2006/relationships/hyperlink" Id="rId123" Target="https://doi.org/10.1088/1748-9326/aa6f1b" TargetMode="External" /><Relationship Type="http://schemas.openxmlformats.org/officeDocument/2006/relationships/hyperlink" Id="rId79" Target="https://doi.org/10.1088/1748-9326/aa75d7" TargetMode="External" /><Relationship Type="http://schemas.openxmlformats.org/officeDocument/2006/relationships/hyperlink" Id="rId87" Target="https://doi.org/10.1111/1365-2745.14069" TargetMode="External" /><Relationship Type="http://schemas.openxmlformats.org/officeDocument/2006/relationships/hyperlink" Id="rId89"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114" Target="https://doi.org/10.1111/gcb.14747" TargetMode="External" /><Relationship Type="http://schemas.openxmlformats.org/officeDocument/2006/relationships/hyperlink" Id="rId91" Target="https://doi.org/10.1111/gcb.16082" TargetMode="External" /><Relationship Type="http://schemas.openxmlformats.org/officeDocument/2006/relationships/hyperlink" Id="rId77"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85" Target="https://doi.org/10.1111/jvs.12840" TargetMode="External" /><Relationship Type="http://schemas.openxmlformats.org/officeDocument/2006/relationships/hyperlink" Id="rId136" Target="https://doi.org/10.1111/nph.13995" TargetMode="External" /><Relationship Type="http://schemas.openxmlformats.org/officeDocument/2006/relationships/hyperlink" Id="rId104" Target="https://doi.org/10.1111/nph.16996" TargetMode="External" /><Relationship Type="http://schemas.openxmlformats.org/officeDocument/2006/relationships/hyperlink" Id="rId95" Target="https://doi.org/10.1111/nph.17187" TargetMode="External" /><Relationship Type="http://schemas.openxmlformats.org/officeDocument/2006/relationships/hyperlink" Id="rId109" Target="https://doi.org/10.1111/nph.17266" TargetMode="External" /><Relationship Type="http://schemas.openxmlformats.org/officeDocument/2006/relationships/hyperlink" Id="rId73"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83" Target="https://doi.org/10.1111/nph.19130" TargetMode="External" /><Relationship Type="http://schemas.openxmlformats.org/officeDocument/2006/relationships/hyperlink" Id="rId66"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68"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4" Target="https://github.com/forestgeo/growth-precip-thailand/issues/12" TargetMode="External" /><Relationship Type="http://schemas.openxmlformats.org/officeDocument/2006/relationships/hyperlink" Id="rId49" Target="https://github.com/forestgeo/growth-precip-thailand/issues/13" TargetMode="External" /><Relationship Type="http://schemas.openxmlformats.org/officeDocument/2006/relationships/hyperlink" Id="rId53" Target="https://github.com/forestgeo/growth-precip-thailand/issues/14" TargetMode="External" /><Relationship Type="http://schemas.openxmlformats.org/officeDocument/2006/relationships/hyperlink" Id="rId39" Target="https://github.com/forestgeo/growth-precip-thailand/issues/27" TargetMode="External" /><Relationship Type="http://schemas.openxmlformats.org/officeDocument/2006/relationships/hyperlink" Id="rId36" Target="https://github.com/forestgeo/growth-precip-thailand/issues/28"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7" Target="https://doi.org/10.1002/2017GL076521" TargetMode="External" /><Relationship Type="http://schemas.openxmlformats.org/officeDocument/2006/relationships/hyperlink" Id="rId134"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27" Target="https://doi.org/10.1007/s00442-013-2846-x" TargetMode="External" /><Relationship Type="http://schemas.openxmlformats.org/officeDocument/2006/relationships/hyperlink" Id="rId81" Target="https://doi.org/10.1007/s00442-020-04760-3" TargetMode="External" /><Relationship Type="http://schemas.openxmlformats.org/officeDocument/2006/relationships/hyperlink" Id="rId112" Target="https://doi.org/10.1016/j.dendro.2019.04.001" TargetMode="External" /><Relationship Type="http://schemas.openxmlformats.org/officeDocument/2006/relationships/hyperlink" Id="rId71" Target="https://doi.org/10.1016/j.foreco.2014.10.007" TargetMode="External" /><Relationship Type="http://schemas.openxmlformats.org/officeDocument/2006/relationships/hyperlink" Id="rId116" Target="https://doi.org/10.1016/j.tree.2021.02.001" TargetMode="External" /><Relationship Type="http://schemas.openxmlformats.org/officeDocument/2006/relationships/hyperlink" Id="rId93" Target="https://doi.org/10.1017/9781009157896" TargetMode="External" /><Relationship Type="http://schemas.openxmlformats.org/officeDocument/2006/relationships/hyperlink" Id="rId75" Target="https://doi.org/10.1029/2021JG006557" TargetMode="External" /><Relationship Type="http://schemas.openxmlformats.org/officeDocument/2006/relationships/hyperlink" Id="rId62" Target="https://doi.org/10.1038/nplants.2015.139" TargetMode="External" /><Relationship Type="http://schemas.openxmlformats.org/officeDocument/2006/relationships/hyperlink" Id="rId100" Target="https://doi.org/10.1038/s41467-022-28824-5" TargetMode="External" /><Relationship Type="http://schemas.openxmlformats.org/officeDocument/2006/relationships/hyperlink" Id="rId102" Target="https://doi.org/10.1038/s41467-023-43083-8" TargetMode="External" /><Relationship Type="http://schemas.openxmlformats.org/officeDocument/2006/relationships/hyperlink" Id="rId64" Target="https://doi.org/10.1038/s41558-023-01776-4" TargetMode="External" /><Relationship Type="http://schemas.openxmlformats.org/officeDocument/2006/relationships/hyperlink" Id="rId58"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98" Target="https://doi.org/10.1038/s41561-022-01026-w" TargetMode="External" /><Relationship Type="http://schemas.openxmlformats.org/officeDocument/2006/relationships/hyperlink" Id="rId123" Target="https://doi.org/10.1088/1748-9326/aa6f1b" TargetMode="External" /><Relationship Type="http://schemas.openxmlformats.org/officeDocument/2006/relationships/hyperlink" Id="rId79" Target="https://doi.org/10.1088/1748-9326/aa75d7" TargetMode="External" /><Relationship Type="http://schemas.openxmlformats.org/officeDocument/2006/relationships/hyperlink" Id="rId87" Target="https://doi.org/10.1111/1365-2745.14069" TargetMode="External" /><Relationship Type="http://schemas.openxmlformats.org/officeDocument/2006/relationships/hyperlink" Id="rId89"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114" Target="https://doi.org/10.1111/gcb.14747" TargetMode="External" /><Relationship Type="http://schemas.openxmlformats.org/officeDocument/2006/relationships/hyperlink" Id="rId91" Target="https://doi.org/10.1111/gcb.16082" TargetMode="External" /><Relationship Type="http://schemas.openxmlformats.org/officeDocument/2006/relationships/hyperlink" Id="rId77"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85" Target="https://doi.org/10.1111/jvs.12840" TargetMode="External" /><Relationship Type="http://schemas.openxmlformats.org/officeDocument/2006/relationships/hyperlink" Id="rId136" Target="https://doi.org/10.1111/nph.13995" TargetMode="External" /><Relationship Type="http://schemas.openxmlformats.org/officeDocument/2006/relationships/hyperlink" Id="rId104" Target="https://doi.org/10.1111/nph.16996" TargetMode="External" /><Relationship Type="http://schemas.openxmlformats.org/officeDocument/2006/relationships/hyperlink" Id="rId95" Target="https://doi.org/10.1111/nph.17187" TargetMode="External" /><Relationship Type="http://schemas.openxmlformats.org/officeDocument/2006/relationships/hyperlink" Id="rId109" Target="https://doi.org/10.1111/nph.17266" TargetMode="External" /><Relationship Type="http://schemas.openxmlformats.org/officeDocument/2006/relationships/hyperlink" Id="rId73"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83" Target="https://doi.org/10.1111/nph.19130" TargetMode="External" /><Relationship Type="http://schemas.openxmlformats.org/officeDocument/2006/relationships/hyperlink" Id="rId66"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68"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4" Target="https://github.com/forestgeo/growth-precip-thailand/issues/12" TargetMode="External" /><Relationship Type="http://schemas.openxmlformats.org/officeDocument/2006/relationships/hyperlink" Id="rId49" Target="https://github.com/forestgeo/growth-precip-thailand/issues/13" TargetMode="External" /><Relationship Type="http://schemas.openxmlformats.org/officeDocument/2006/relationships/hyperlink" Id="rId53" Target="https://github.com/forestgeo/growth-precip-thailand/issues/14" TargetMode="External" /><Relationship Type="http://schemas.openxmlformats.org/officeDocument/2006/relationships/hyperlink" Id="rId39" Target="https://github.com/forestgeo/growth-precip-thailand/issues/27" TargetMode="External" /><Relationship Type="http://schemas.openxmlformats.org/officeDocument/2006/relationships/hyperlink" Id="rId36" Target="https://github.com/forestgeo/growth-precip-thailand/issues/28"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2025-04-10T18:35:12Z</dcterms:created>
  <dcterms:modified xsi:type="dcterms:W3CDTF">2025-04-10T18:35:12Z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