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144</w:t>
      </w:r>
      <w:r>
        <w:br/>
      </w:r>
      <w:r>
        <w:rPr>
          <w:bCs/>
          <w:b/>
        </w:rPr>
        <w:t xml:space="preserve">Number of Words in Main Text:</w:t>
      </w:r>
      <w:r>
        <w:t xml:space="preserve"> </w:t>
      </w:r>
      <w:r>
        <w:t xml:space="preserve">5019</w:t>
      </w:r>
      <w:r>
        <w:br/>
      </w:r>
      <w:r>
        <w:t xml:space="preserve"> </w:t>
      </w:r>
      <w:r>
        <w:rPr>
          <w:bCs/>
          <w:b/>
        </w:rPr>
        <w:t xml:space="preserve">Number of References:</w:t>
      </w:r>
      <w:r>
        <w:t xml:space="preserve"> </w:t>
      </w:r>
      <w:r>
        <w:t xml:space="preserve">54</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w:t>
      </w:r>
      <w:r>
        <w:t xml:space="preserve"> </w:t>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HMM created and helped execute the dendrometer band protocol.</w:t>
      </w:r>
      <w:r>
        <w:t xml:space="preserve"> </w:t>
      </w:r>
      <w:r>
        <w:t xml:space="preserve">KA cleaned the data and conducted formal analysis with support from SMM, SJD, HMM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3"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will be made available in Zenodo upon acceptance of the manuscript.</w:t>
      </w:r>
    </w:p>
    <w:bookmarkEnd w:id="23"/>
    <w:bookmarkStart w:id="24" w:name="conflict-of-interest"/>
    <w:p>
      <w:pPr>
        <w:pStyle w:val="Heading1"/>
      </w:pPr>
      <w:r>
        <w:t xml:space="preserve">Conflict of Interest</w:t>
      </w:r>
    </w:p>
    <w:p>
      <w:pPr>
        <w:pStyle w:val="FirstParagraph"/>
      </w:pPr>
      <w:r>
        <w:t xml:space="preserve">The authors declare no conflict of interest.</w:t>
      </w:r>
    </w:p>
    <w:p>
      <w:r>
        <w:br w:type="page"/>
      </w:r>
    </w:p>
    <w:bookmarkEnd w:id="24"/>
    <w:bookmarkStart w:id="25" w:name="abstract-150-words"/>
    <w:p>
      <w:pPr>
        <w:pStyle w:val="Heading1"/>
      </w:pPr>
      <w:r>
        <w:t xml:space="preserve">Abstract (150 words)</w:t>
      </w:r>
    </w:p>
    <w:p>
      <w:pPr>
        <w:pStyle w:val="FirstParagraph"/>
      </w:pPr>
      <w:r>
        <w:t xml:space="preserve">Increased frequency and severity of droughts threatens forest health worldwide, with important implications for this critical carbon sink.</w:t>
      </w:r>
      <w:r>
        <w:t xml:space="preserve"> </w:t>
      </w:r>
      <w:r>
        <w:t xml:space="preserve">Tree species adaptations to hot and dry conditions–e.g., dry-season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 Thailand to assess tree growth responses to three climatically distinct droughts.</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 and wetter microclimates amplified this difference.</w:t>
      </w:r>
      <w:r>
        <w:t xml:space="preserve"> </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6" w:name="introduction"/>
    <w:p>
      <w:pPr>
        <w:pStyle w:val="Heading1"/>
      </w:pPr>
      <w:r>
        <w:t xml:space="preserve">Introduction</w:t>
      </w:r>
    </w:p>
    <w:p>
      <w:pPr>
        <w:pStyle w:val="FirstParagraph"/>
      </w:pPr>
      <w:r>
        <w:t xml:space="preserve">Intense droughts are becoming more frequent, affecting the demography, diversity, and carbon (C) cycling of forests globally</w:t>
      </w:r>
      <w:r>
        <w:t xml:space="preserve"> </w:t>
      </w:r>
      <w:r>
        <w:t xml:space="preserve">(IPCC 2023)</w:t>
      </w:r>
      <w:r>
        <w:t xml:space="preserve">.</w:t>
      </w:r>
      <w:r>
        <w:t xml:space="preserve"> </w:t>
      </w:r>
      <w:r>
        <w:t xml:space="preserve">However, drought impacts on tree woody growth and ecosystem C sequestration remain difficult to predict,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Specifically, if drought tolerance is influenced independently by drought characteristics, species traits, and microenvironment, tree drought responses may be conserved, and linearly predictable; i.e., species with low sensitivity to past droughts would have low sensitivity in any microhabitat and any drought.</w:t>
      </w:r>
      <w:r>
        <w:t xml:space="preserve"> </w:t>
      </w:r>
      <w:r>
        <w:t xml:space="preserve">In contrast, if these factors interact, species and individuals that exhibit resistance to one drought may prove vulnerable to a drought with different characteristics.</w:t>
      </w:r>
      <w:r>
        <w:t xml:space="preserve"> </w:t>
      </w:r>
      <w:r>
        <w:t xml:space="preserve">The complexity and diversity of drought responses may act as a mechanism for maintaining species diversity and buffering ecosystem function even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encompasses a variety of types based on the meteorological variables affected and the timing, severity and duration of climatic anomalies</w:t>
      </w:r>
      <w:r>
        <w:t xml:space="preserve"> </w:t>
      </w:r>
      <w:r>
        <w:t xml:space="preserve">(Slette</w:t>
      </w:r>
      <w:r>
        <w:t xml:space="preserve"> </w:t>
      </w:r>
      <w:r>
        <w:rPr>
          <w:iCs/>
          <w:i/>
        </w:rPr>
        <w:t xml:space="preserve">et al.</w:t>
      </w:r>
      <w:r>
        <w:t xml:space="preserve"> </w:t>
      </w:r>
      <w:r>
        <w:t xml:space="preserve">2019)</w:t>
      </w:r>
      <w:r>
        <w:t xml:space="preserve"> </w:t>
      </w:r>
      <w:r>
        <w:t xml:space="preserve">with potentially distinct ecological consequences.</w:t>
      </w:r>
      <w:r>
        <w:t xml:space="preserve"> </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seasonal timing, duration, or intensity may have distinct effects on tree growth, especially in seasonal forests with diverse adaptive strategies to handle regular dry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interannual variation in tropical tree growth</w:t>
      </w:r>
      <w:r>
        <w:t xml:space="preserve"> </w:t>
      </w:r>
      <w:r>
        <w:t xml:space="preserve">is particularly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Tree species adaptations to drought vary widely,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optimize growth, reproduction, and survival (i.e., fitness) under dry seasons,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dry-season), more negative leaf water potential at turgor loss point (</w:t>
      </w:r>
      <m:oMath>
        <m:sSub>
          <m:e>
            <m:r>
              <m:t>π</m:t>
            </m:r>
          </m:e>
          <m:sub>
            <m:r>
              <m:t>t</m:t>
            </m:r>
            <m:r>
              <m:t>l</m:t>
            </m:r>
            <m:r>
              <m:t>p</m:t>
            </m:r>
          </m:sub>
        </m:sSub>
      </m:oMath>
      <w:r>
        <w:t xml:space="preserve">, hydraulic safety, to maintain gas exchange and photosynthesis under hot and dry conditions), and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further shape individual tree experience of, and response to, drought.</w:t>
      </w:r>
      <w:r>
        <w:t xml:space="preserve"> </w:t>
      </w:r>
      <w:r>
        <w:t xml:space="preserve">While habitats with relatively moist soils (e.g., low-lying topography)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could be partially offset by the tendency for large trees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wet-seasons for growth, are particularly sensitive to wet-season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w:t>
      </w:r>
      <w:r>
        <w:t xml:space="preserve"> </w:t>
      </w:r>
      <w:r>
        <w:t xml:space="preserve">This analysis adds important insight into the complexity of seasonal dry forest response to drought in species-rich tropical forests.</w:t>
      </w:r>
    </w:p>
    <w:bookmarkEnd w:id="26"/>
    <w:bookmarkStart w:id="27"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Selected were a size-stratified and spatially-stratified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and tree.</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Diameter tape measurements are not precise enough for calculating drought sensitivity.</w:t>
      </w:r>
      <w:r>
        <w:t xml:space="preserve"> </w:t>
      </w:r>
      <w:r>
        <w:t xml:space="preserve">Error for growth is twice measurement error = 2 mm; in comparison, median annual growth in HKK is ~1.4 mm and calculating deviation from annual growth needs sub-mm precision.</w:t>
      </w:r>
      <w:r>
        <w:t xml:space="preserve"> </w:t>
      </w:r>
      <w:r>
        <w:t xml:space="preserve">However, we used tape measurements to flag likely errors in the dendrometer dataset.</w:t>
      </w:r>
      <w:r>
        <w:t xml:space="preserve"> </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and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rolling means of precipitation, number of dry days (precipitation = 0), VPD and maximum temperature over 30-day periods across the whole timeseries.</w:t>
      </w:r>
      <w:r>
        <w:t xml:space="preserve"> </w:t>
      </w:r>
      <w:r>
        <w:t xml:space="preserve">Finally, we calculated daily rolling anomalies for each variable for the drought years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increment deviation to the mean annual growth of each tree, this metric allows us to compare across slow and fast 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for fine resolution and ability to locate the trees on the layer, but this omits upslope area that is off the plot.</w:t>
      </w:r>
      <w:r>
        <w:t xml:space="preserve"> </w:t>
      </w:r>
      <w:r>
        <w:t xml:space="preserve">Using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we calculated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For an alternate estimate of wetness (Topographic Position Index) and associated results, see supplementary material.</w:t>
      </w:r>
      <w:r>
        <w:t xml:space="preserve"> </w:t>
      </w:r>
      <w:r>
        <w:t xml:space="preserve">We defined tree size as the diameter at breast height (calculated from dendrometer band window measurement)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and so we manually assigned it a deciduousness score of 1.</w:t>
      </w:r>
      <w:r>
        <w:t xml:space="preserve"> </w:t>
      </w:r>
      <w:r>
        <w:t xml:space="preserve">We also considered an alternative measure of deciduousness - the duration of time spent at maximum crown loss.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analysed tree responses to individual droughts by fitting separate models.</w:t>
      </w:r>
      <w:r>
        <w:t xml:space="preserve"> </w:t>
      </w:r>
      <w:r>
        <w:t xml:space="preserve">We fit alternative models for sensitivity including a null model with just species random effects, a model including only fixed effects of species deciduousness and habitat wetness and a model including size (DBH), light environment (CII) and habitat wetness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7"/>
    <w:bookmarkStart w:id="32" w:name="results"/>
    <w:p>
      <w:pPr>
        <w:pStyle w:val="Heading1"/>
      </w:pPr>
      <w:r>
        <w:t xml:space="preserve">Results</w:t>
      </w:r>
    </w:p>
    <w:bookmarkStart w:id="28" w:name="drought-characteristics"/>
    <w:p>
      <w:pPr>
        <w:pStyle w:val="Heading2"/>
      </w:pPr>
      <w:r>
        <w:t xml:space="preserve">Drought characteristics</w:t>
      </w:r>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The 2010 drought showed 30-day-mean meteorological anomalies between February and May including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 including in the wet-season.</w:t>
      </w:r>
      <w:r>
        <w:t xml:space="preserve"> </w:t>
      </w:r>
      <w:r>
        <w:t xml:space="preserve"> </w:t>
      </w:r>
      <w:r>
        <w:t xml:space="preserve">1- to 6-month SPEI values reached minima between -1.5 and -2, indicative of severe drought, while the 12-month values remained above -1, indicative of mild drought.</w:t>
      </w:r>
      <w:r>
        <w:t xml:space="preserve"> </w:t>
      </w:r>
      <w:r>
        <w:t xml:space="preserve">In 2015, pronounced meteorological anomalies on the 30-day scale occurred during the wet-season,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values crossed minima -2, lowest in the dendroband census period and indicative of severe drought.</w:t>
      </w:r>
      <w:r>
        <w:t xml:space="preserve"> </w:t>
      </w:r>
      <w:r>
        <w:t xml:space="preserve">In 2020, meteorological anomalies were pronounced both in the dry- and wet-seasons,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reached minima ~2 in February, indicative of borderline severe drought.</w:t>
      </w:r>
      <w:r>
        <w:t xml:space="preserve"> </w:t>
      </w:r>
      <w:r>
        <w:t xml:space="preserve">12-month SPEI showed severe drought conditions from January to April, and moderate drought from May to September, spanning both dry- and wet-seasons.</w:t>
      </w:r>
    </w:p>
    <w:bookmarkEnd w:id="28"/>
    <w:bookmarkStart w:id="29" w:name="growth-responses-to-drought"/>
    <w:p>
      <w:pPr>
        <w:pStyle w:val="Heading2"/>
      </w:pPr>
      <w:r>
        <w:t xml:space="preserve">Growth responses to drought</w:t>
      </w:r>
    </w:p>
    <w:p>
      <w:pPr>
        <w:pStyle w:val="FirstParagraph"/>
      </w:pPr>
      <w:r>
        <w:t xml:space="preserve">Drought years were associated with lower plot-level growth and stronger tree-level sensitivities, with the strongest negative response in 2015 (Fig 2).</w:t>
      </w:r>
      <w:r>
        <w:t xml:space="preserve"> </w:t>
      </w:r>
      <w:r>
        <w:t xml:space="preserve">Median plot-level annual growth rate across years of measurement was 1.73</w:t>
      </w:r>
      <w:r>
        <w:t xml:space="preserve"> </w:t>
      </w:r>
      <m:oMath>
        <m:r>
          <m:rPr>
            <m:sty m:val="p"/>
          </m:rPr>
          <m:t>±</m:t>
        </m:r>
      </m:oMath>
      <w:r>
        <w:t xml:space="preserve"> </w:t>
      </w:r>
      <w:r>
        <w:t xml:space="preserve">2.79 mm.</w:t>
      </w:r>
      <w:r>
        <w:t xml:space="preserve"> </w:t>
      </w:r>
      <w:r>
        <w:t xml:space="preserve">The drought year 2015 had the lowest median increment 0.82 mm, 52.68% lower than the median across all years.</w:t>
      </w:r>
      <w:r>
        <w:t xml:space="preserve"> </w:t>
      </w:r>
      <w:r>
        <w:t xml:space="preserve">In the 2010 and 2020 droughts, the median increments were 1.5 mm and 1.28 mm respectively, 13.33% and 26.3% lower than the median across all years.</w:t>
      </w:r>
      <w:r>
        <w:t xml:space="preserve"> </w:t>
      </w:r>
      <w:r>
        <w:t xml:space="preserve"> </w:t>
      </w:r>
      <w:r>
        <w:t xml:space="preserve"> </w:t>
      </w:r>
      <w:r>
        <w:t xml:space="preserve">Median drought sensitivity across all trees in 2010, 2015 and 2020 were -0.27</w:t>
      </w:r>
      <w:r>
        <w:t xml:space="preserve"> </w:t>
      </w:r>
      <m:oMath>
        <m:r>
          <m:rPr>
            <m:sty m:val="p"/>
          </m:rPr>
          <m:t>±</m:t>
        </m:r>
      </m:oMath>
      <w:r>
        <w:t xml:space="preserve"> </w:t>
      </w:r>
      <w:r>
        <w:t xml:space="preserve">0.92, -0.55</w:t>
      </w:r>
      <w:r>
        <w:t xml:space="preserve"> </w:t>
      </w:r>
      <m:oMath>
        <m:r>
          <m:rPr>
            <m:sty m:val="p"/>
          </m:rPr>
          <m:t>±</m:t>
        </m:r>
      </m:oMath>
      <w:r>
        <w:t xml:space="preserve"> </w:t>
      </w:r>
      <w:r>
        <w:t xml:space="preserve">0.98 and -0.3</w:t>
      </w:r>
      <w:r>
        <w:t xml:space="preserve"> </w:t>
      </w:r>
      <m:oMath>
        <m:r>
          <m:rPr>
            <m:sty m:val="p"/>
          </m:rPr>
          <m:t>±</m:t>
        </m:r>
      </m:oMath>
      <w:r>
        <w:t xml:space="preserve"> </w:t>
      </w:r>
      <w:r>
        <w:t xml:space="preserve">1.1 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Median annual increment varied among species with</w:t>
      </w:r>
      <w:r>
        <w:t xml:space="preserve"> </w:t>
      </w:r>
      <w:r>
        <w:rPr>
          <w:iCs/>
          <w:i/>
        </w:rPr>
        <w:t xml:space="preserve">Gluta obovata</w:t>
      </w:r>
      <w:r>
        <w:t xml:space="preserve"> </w:t>
      </w:r>
      <w:r>
        <w:t xml:space="preserve">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br/>
      </w:r>
      <w:r>
        <w:t xml:space="preserve">Median species responses to the 2010 and 2020 droughts were variable, but all species had lower median increments than a typical year in 2015.</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w:t>
      </w:r>
      <w:r>
        <w:t xml:space="preserve">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p>
    <w:p>
      <w:pPr>
        <w:pStyle w:val="BodyText"/>
      </w:pPr>
      <w:r>
        <w:t xml:space="preserve">Species median sensitivities to the three droughts were not correlated with each other, although on average, species had more negative sensitivities to the 2015 drought than the 2010 or 2020 droughts, in alignment with median sensitivities across all trees (for 2010 and 2015 Pearson’s correlation coefficient r = 0.11, p = 0.57, for 2015 and 2020 was r = -0.16, p = 0.39, and for 2010 and 2020 r = 0.16, p = 0.4, Fig S5).</w:t>
      </w:r>
    </w:p>
    <w:p>
      <w:pPr>
        <w:pStyle w:val="BodyText"/>
      </w:pPr>
      <w:r>
        <w:t xml:space="preserve">Deciduous and evergreen species showed heterogenous responses to different droughts.</w:t>
      </w:r>
      <w:r>
        <w:t xml:space="preserve"> </w:t>
      </w:r>
      <w:r>
        <w:t xml:space="preserve">Deciduous species were more drought sensitive than evergreen species in 2015 (Fig 3a, r = -0.41, p = 0.03), but the opposite was true in 2020 (0.41, p = 0.03).</w:t>
      </w:r>
      <w:r>
        <w:t xml:space="preserve"> </w:t>
      </w:r>
      <w:r>
        <w:t xml:space="preserve">There was no difference in 2010 (r = -0.05, p = 0.8).</w:t>
      </w:r>
      <w:r>
        <w:t xml:space="preserve"> </w:t>
      </w:r>
      <w:r>
        <w:t xml:space="preserve">Models of all trees with TWI and deciduousness as predictors showed that the conditional effect of deciduousness on sensitivity (controlling for topographic wetness) was significant and negative in 2015 (-0.08; 90% CI -0.12,-0.04), positive in 2020 (0.19; 90% CI 0.15,0.23), but no relationship in 2010 (-0.02, 90% CI -0.05, 0.02).</w:t>
      </w:r>
    </w:p>
    <w:bookmarkEnd w:id="30"/>
    <w:bookmarkStart w:id="31" w:name="microenvironment-and-individual-effects"/>
    <w:p>
      <w:pPr>
        <w:pStyle w:val="Heading2"/>
      </w:pPr>
      <w:r>
        <w:t xml:space="preserve">Microenvironment and individual effects</w:t>
      </w:r>
    </w:p>
    <w:p>
      <w:pPr>
        <w:pStyle w:val="FirstParagraph"/>
      </w:pPr>
      <w:r>
        <w:t xml:space="preserve">Individual trees did not respond similarly to the three drought events (Fig S6).</w:t>
      </w:r>
    </w:p>
    <w:p>
      <w:pPr>
        <w:pStyle w:val="BodyText"/>
      </w:pPr>
      <w:r>
        <w:t xml:space="preserve">TWI showed significant positive effect in 2015 and 2020 but no significant effect on sensitivity in 2010.</w:t>
      </w:r>
      <w:r>
        <w:t xml:space="preserve"> </w:t>
      </w:r>
      <w:r>
        <w:t xml:space="preserve">Across all trees, the model with TWI and deciduousness showed that TWI had no effect on drought sensitivity in 2010 (median effect =0, 90% CI -0.04, 0.03) but a positive effect in 2015 (median effect =0.05, 90% CI 0.01, 0.08) and 2020 (median effect =0.07, 90% CI 0.02, 0.11).</w:t>
      </w:r>
      <w:r>
        <w:t xml:space="preserve"> </w:t>
      </w:r>
      <w:r>
        <w:t xml:space="preserve">The interaction between TWI and deciduousness was significantly negative in 2015 (median effect =-0.02, 90% CI -0.03, 0) but was not significant in 2010 (median effect =0, 90% CI -0.01, 0.02) or 2020, (median effect =-0.01, 90% CI -0.03, 0.01)</w:t>
      </w:r>
      <w:r>
        <w:t xml:space="preserve"> </w:t>
      </w:r>
      <w:r>
        <w:t xml:space="preserve"> </w:t>
      </w:r>
      <w:r>
        <w:t xml:space="preserve">Predicted sensitivities of deciduous trees were more negative than evergreen trees in 2015, with this effect stronger in wetter sites (Fig 3b).</w:t>
      </w:r>
      <w:r>
        <w:t xml:space="preserve"> </w:t>
      </w:r>
      <w:r>
        <w:t xml:space="preserve">In 2020, predicted sensitivities of deciduous trees were more positive than evergreen trees and this effect was observable in drier sites (Fig 3b).</w:t>
      </w:r>
    </w:p>
    <w:p>
      <w:pPr>
        <w:pStyle w:val="BodyText"/>
      </w:pPr>
      <w:r>
        <w:t xml:space="preserve">The differing effects of TWI on sensitivity in the three droughts, along with the influence of deciduousness, were confirmed by models that controlled for crown exposure, DBH and species variation (Fig 4a).</w:t>
      </w:r>
      <w:r>
        <w:t xml:space="preserve"> </w:t>
      </w:r>
      <w:r>
        <w:t xml:space="preserve">Wetness had a small negative effect in 2010 (median effect =-0.04, 90% CI -0.09, 0.02), but a positive effect in 2015 (median effect =0.05, 90% CI 0, 0.11) and 2020 (median effect =0.06, 90% CI 0.01, 0.12).</w:t>
      </w:r>
      <w:r>
        <w:t xml:space="preserve"> </w:t>
      </w:r>
      <w:r>
        <w:t xml:space="preserve"> </w:t>
      </w:r>
      <w:r>
        <w:t xml:space="preserve">Predictions across the range of observed variables also showed that deciduous species experienced greater growth declines in 2015 across the wetness gradient (Fig 4c).</w:t>
      </w:r>
      <w:r>
        <w:t xml:space="preserve"> </w:t>
      </w:r>
    </w:p>
    <w:p>
      <w:pPr>
        <w:pStyle w:val="BodyText"/>
      </w:pPr>
      <w:r>
        <w:t xml:space="preserve">Crown exposure was associated with greater growth declines in 2010.</w:t>
      </w:r>
      <w:r>
        <w:t xml:space="preserve"> </w:t>
      </w:r>
      <w:r>
        <w:t xml:space="preserve">In the same models with species random effects on intercept and slope, the simplex parameter for the ordered factor crown exposure in 2010 was significant and negative (median effect =-0.15, 90% CI -0.33, -0.07), while in 2015 and 2020 the negative effect was not as strong (2015 median effect =-0.06, 90% CI -0.17, 0.03; 2020 median effect = -0.02, 90% CI -0.1, 0.06).</w:t>
      </w:r>
      <w:r>
        <w:t xml:space="preserve"> </w:t>
      </w:r>
      <w:r>
        <w:t xml:space="preserve">Predicted effects of crown exposure on sensitivity decreased monotonically, with a decrease to negative sensitivities in category 4 and 5 in 2010, but all crown exposure categories had negative sensitivities in 2015 and 2020 (Fig 5b).</w:t>
      </w:r>
    </w:p>
    <w:p>
      <w:pPr>
        <w:pStyle w:val="BodyText"/>
      </w:pPr>
      <w:r>
        <w:t xml:space="preserve">Trees with larger DBH had higher crown exposure in 2010 (median effect = 4.01, 90% CI 3.74, 4.3), 2015 (4.19, 90% CI 3.92, 4.48) and 2020 (3.75, 90% CI 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and local environmental conditions (Table 1).</w:t>
      </w:r>
      <w:r>
        <w:t xml:space="preserve"> </w:t>
      </w:r>
      <w:r>
        <w:t xml:space="preserve">Analysing three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extremes of temperature, vapor pressure deficit, and number of dry days (Fig. 2a), severe drought in the wet-season (2015) elicited stronger responses across trees, especially deciduous species, which are expected to have stronger seasonality in growth phenology (Fig 3).</w:t>
      </w:r>
      <w:r>
        <w:t xml:space="preserve"> </w:t>
      </w:r>
      <w:r>
        <w:t xml:space="preserve">Interestingly, in 2015 and 2020 (but not 2010), evergreen and deciduous species had divergent responses, especially along a wetness gradient; deciduous species showed greater growth declines in wetter sites in 2015 while evergreen species grew less in drier sites in 2020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wet-season droughts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have may contribute to the maintenance of species diversity and ecosystem stability.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ENSO strength, seasonal timing, magnitude and duration of meteorological anomalies, and severity as classified with SPEI (Table 1, Fig. 1).</w:t>
      </w:r>
      <w:r>
        <w:t xml:space="preserve"> </w:t>
      </w:r>
      <w:r>
        <w:t xml:space="preserve"> </w:t>
      </w:r>
      <w:r>
        <w:t xml:space="preserve"> </w:t>
      </w:r>
      <w:r>
        <w:t xml:space="preserve">However, our finding that a wet-season drought in 2015 had greater impact on woody growth than a dry-season drought in 2010 questions the generality of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But the strength of the ecological response to the 2015 wet-season drought (Fig. 1) does not align with this assumption.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adaptative variation towards drought resistance potnetially resulting in a greater diversity of drought responses here compared to other bioclimatic zones where adaptive pressures and thus ecological variability are different.</w:t>
      </w:r>
      <w:r>
        <w:t xml:space="preserve"> </w:t>
      </w:r>
      <w:r>
        <w:t xml:space="preserve">We demonstrate that species identity and a key species adaptation (decidousness) interact with drought characteristics and microenvironment to shape drought responses in a dry seasonal evergreen forest.</w:t>
      </w:r>
      <w:r>
        <w:t xml:space="preserve"> </w:t>
      </w:r>
      <w:r>
        <w:t xml:space="preserve">Strong seasonality in tropical dry forests exerts selective pressures on hydraulic strategies resulting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microenvironments.</w:t>
      </w:r>
      <w:r>
        <w:t xml:space="preserve"> </w:t>
      </w:r>
      <w:r>
        <w:t xml:space="preserve">Again, continued expansion of dendrometer band records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make particular species and trees resistant to some droughts but vulnerable to others.</w:t>
      </w:r>
      <w:r>
        <w:t xml:space="preserve"> </w:t>
      </w:r>
      <w:r>
        <w:t xml:space="preserve">These distinct responses of species and individuals to droughts suggests potential spatiotemporal insurance effects among tropical tree response, in alignment with recent global analyses</w:t>
      </w:r>
      <w:r>
        <w:t xml:space="preserve">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35" w:name="references"/>
    <w:p>
      <w:pPr>
        <w:pStyle w:val="Heading1"/>
      </w:pPr>
      <w:r>
        <w:t xml:space="preserve">References</w:t>
      </w:r>
    </w:p>
    <w:bookmarkStart w:id="134"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50"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49">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50"/>
    <w:bookmarkStart w:id="51"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51"/>
    <w:bookmarkStart w:id="53" w:name="ref-bürkner_brms_2017"/>
    <w:p>
      <w:pPr>
        <w:pStyle w:val="Bibliography"/>
      </w:pPr>
      <w:r>
        <w:t xml:space="preserve">Bürkner, P.-C. (2017).</w:t>
      </w:r>
      <w:r>
        <w:t xml:space="preserve"> </w:t>
      </w:r>
      <w:hyperlink r:id="rId52">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3"/>
    <w:bookmarkStart w:id="54"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4"/>
    <w:bookmarkStart w:id="56"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5">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6"/>
    <w:bookmarkStart w:id="58" w:name="ref-clark_annual_2021"/>
    <w:p>
      <w:pPr>
        <w:pStyle w:val="Bibliography"/>
      </w:pPr>
      <w:r>
        <w:t xml:space="preserve">Clark, D.A., Clark, D.B. &amp; Oberbauer, S.F. (2021).</w:t>
      </w:r>
      <w:r>
        <w:t xml:space="preserve"> </w:t>
      </w:r>
      <w:hyperlink r:id="rId57">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8"/>
    <w:bookmarkStart w:id="60" w:name="ref-clark_annual_2010"/>
    <w:p>
      <w:pPr>
        <w:pStyle w:val="Bibliography"/>
      </w:pPr>
      <w:r>
        <w:t xml:space="preserve">Clark, D.B., Clark, D.A. &amp; Oberbauer, S.F. (2010).</w:t>
      </w:r>
      <w:r>
        <w:t xml:space="preserve"> </w:t>
      </w:r>
      <w:hyperlink r:id="rId59">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60"/>
    <w:bookmarkStart w:id="62" w:name="ref-dahinden_future_2017"/>
    <w:p>
      <w:pPr>
        <w:pStyle w:val="Bibliography"/>
      </w:pPr>
      <w:r>
        <w:t xml:space="preserve">Dahinden, F., Fischer, E.M. &amp; Knutti, R. (2017).</w:t>
      </w:r>
      <w:r>
        <w:t xml:space="preserve"> </w:t>
      </w:r>
      <w:hyperlink r:id="rId6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2"/>
    <w:bookmarkStart w:id="64" w:name="ref-desouza_drought_2020"/>
    <w:p>
      <w:pPr>
        <w:pStyle w:val="Bibliography"/>
      </w:pPr>
      <w:r>
        <w:t xml:space="preserve">De Souza, B.C., Carvalho, E.C.D., Oliveira, R.S., De Araujo, F.S., De Lima, A.L.A. &amp; Rodal, M.J.N. (2020).</w:t>
      </w:r>
      <w:r>
        <w:t xml:space="preserve"> </w:t>
      </w:r>
      <w:hyperlink r:id="rId6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4"/>
    <w:bookmarkStart w:id="65" w:name="ref-detto_correcting_2023"/>
    <w:p>
      <w:pPr>
        <w:pStyle w:val="Bibliography"/>
      </w:pPr>
      <w:r>
        <w:t xml:space="preserve">Detto, M. &amp; Muller-Landau, H.C. (2023). Correcting dendrometer measurements for stem curvature.</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6">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7"/>
    <w:bookmarkStart w:id="79" w:name="ref-hulshof_variation_2010"/>
    <w:p>
      <w:pPr>
        <w:pStyle w:val="Bibliography"/>
      </w:pPr>
      <w:r>
        <w:t xml:space="preserve">Hulshof, C.M. &amp; Swenson, N.G. (2010).</w:t>
      </w:r>
      <w:r>
        <w:t xml:space="preserve"> </w:t>
      </w:r>
      <w:hyperlink r:id="rId78">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79"/>
    <w:bookmarkStart w:id="81" w:name="ref-ipcc_climate_2023"/>
    <w:p>
      <w:pPr>
        <w:pStyle w:val="Bibliography"/>
      </w:pPr>
      <w:r>
        <w:t xml:space="preserve">IPCC. (2023).</w:t>
      </w:r>
      <w:r>
        <w:t xml:space="preserve"> </w:t>
      </w:r>
      <w:hyperlink r:id="rId8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1"/>
    <w:bookmarkStart w:id="8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3"/>
    <w:bookmarkStart w:id="8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4"/>
    <w:bookmarkStart w:id="86" w:name="ref-liu_drought_2022"/>
    <w:p>
      <w:pPr>
        <w:pStyle w:val="Bibliography"/>
      </w:pPr>
      <w:r>
        <w:t xml:space="preserve">Liu, D., Wang, T., Peñuelas, J. &amp; Piao, S. (2022).</w:t>
      </w:r>
      <w:r>
        <w:t xml:space="preserve"> </w:t>
      </w:r>
      <w:hyperlink r:id="rId8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86"/>
    <w:bookmarkStart w:id="88" w:name="ref-luo_tropical_2022"/>
    <w:p>
      <w:pPr>
        <w:pStyle w:val="Bibliography"/>
      </w:pPr>
      <w:r>
        <w:t xml:space="preserve">Luo, X. &amp; Keenan, T.F. (2022).</w:t>
      </w:r>
      <w:r>
        <w:t xml:space="preserve"> </w:t>
      </w:r>
      <w:hyperlink r:id="rId8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88"/>
    <w:bookmarkStart w:id="90" w:name="ref-ma_tree_2023"/>
    <w:p>
      <w:pPr>
        <w:pStyle w:val="Bibliography"/>
      </w:pPr>
      <w:r>
        <w:t xml:space="preserve">Ma, Q., Su, Y., Niu, C., Ma, Q., Hu, T., Luo, X.,</w:t>
      </w:r>
      <w:r>
        <w:t xml:space="preserve"> </w:t>
      </w:r>
      <w:r>
        <w:rPr>
          <w:iCs/>
          <w:i/>
        </w:rPr>
        <w:t xml:space="preserve">et al.</w:t>
      </w:r>
      <w:r>
        <w:t xml:space="preserve"> (2023).</w:t>
      </w:r>
      <w:r>
        <w:t xml:space="preserve"> </w:t>
      </w:r>
      <w:hyperlink r:id="rId89">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0"/>
    <w:bookmarkStart w:id="92" w:name="ref-mcdowell_darcys_2015"/>
    <w:p>
      <w:pPr>
        <w:pStyle w:val="Bibliography"/>
      </w:pPr>
      <w:r>
        <w:t xml:space="preserve">McDowell, N.G. &amp; Allen, C.D. (2015).</w:t>
      </w:r>
      <w:r>
        <w:t xml:space="preserve"> </w:t>
      </w:r>
      <w:hyperlink r:id="rId91">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2"/>
    <w:bookmarkStart w:id="94"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3">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94"/>
    <w:bookmarkStart w:id="95" w:name="ref-muller-landau_metal_2008"/>
    <w:p>
      <w:pPr>
        <w:pStyle w:val="Bibliography"/>
      </w:pPr>
      <w:r>
        <w:t xml:space="preserve">Muller-Landau, H.C. (2008). Metal</w:t>
      </w:r>
      <w:r>
        <w:t xml:space="preserve"> </w:t>
      </w:r>
      <w:r>
        <w:t xml:space="preserve">Band Dendrometer Protocol</w:t>
      </w:r>
      <w:r>
        <w:t xml:space="preserve">.</w:t>
      </w:r>
    </w:p>
    <w:bookmarkEnd w:id="95"/>
    <w:bookmarkStart w:id="97"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96">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97"/>
    <w:bookmarkStart w:id="99"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98">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99"/>
    <w:bookmarkStart w:id="101" w:name="ref-oliveira_linking_2021"/>
    <w:p>
      <w:pPr>
        <w:pStyle w:val="Bibliography"/>
      </w:pPr>
      <w:r>
        <w:t xml:space="preserve">Oliveira, R.S., Eller, C.B., Barros, F. de V., Hirota, M., Brum, M. &amp; Bittencourt, P. (2021).</w:t>
      </w:r>
      <w:r>
        <w:t xml:space="preserve"> </w:t>
      </w:r>
      <w:hyperlink r:id="rId100">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1"/>
    <w:bookmarkStart w:id="102"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2"/>
    <w:bookmarkStart w:id="104" w:name="ref-raesch_pvldcurve_2020"/>
    <w:p>
      <w:pPr>
        <w:pStyle w:val="Bibliography"/>
      </w:pPr>
      <w:r>
        <w:t xml:space="preserve">Raesch, A. (2020).</w:t>
      </w:r>
      <w:r>
        <w:t xml:space="preserve"> </w:t>
      </w:r>
      <w:hyperlink r:id="rId103">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04"/>
    <w:bookmarkStart w:id="106" w:name="ref-räsänen_spatial_2016"/>
    <w:p>
      <w:pPr>
        <w:pStyle w:val="Bibliography"/>
      </w:pPr>
      <w:r>
        <w:t xml:space="preserve">Räsänen, T.A., Lindgren, V., Guillaume, J.H.A., Buckley, B.M. &amp; Kummu, M. (2016).</w:t>
      </w:r>
      <w:r>
        <w:t xml:space="preserve"> </w:t>
      </w:r>
      <w:hyperlink r:id="rId105">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06"/>
    <w:bookmarkStart w:id="108" w:name="ref-scharnweber_confessions_2019"/>
    <w:p>
      <w:pPr>
        <w:pStyle w:val="Bibliography"/>
      </w:pPr>
      <w:r>
        <w:t xml:space="preserve">Scharnweber, T., Heinze, L., Cruz-García, R., van der Maaten-Theunissen, M. &amp; Wilmking, M. (2019).</w:t>
      </w:r>
      <w:r>
        <w:t xml:space="preserve"> </w:t>
      </w:r>
      <w:hyperlink r:id="rId107">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08"/>
    <w:bookmarkStart w:id="110"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09">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0"/>
    <w:bookmarkStart w:id="111"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1"/>
    <w:bookmarkStart w:id="113" w:name="ref-stahl_depth_2013"/>
    <w:p>
      <w:pPr>
        <w:pStyle w:val="Bibliography"/>
      </w:pPr>
      <w:r>
        <w:t xml:space="preserve">Stahl, C., Hérault, B., Rossi, V., Burban, B., Bréchet, C. &amp; Bonal, D. (2013).</w:t>
      </w:r>
      <w:r>
        <w:t xml:space="preserve"> </w:t>
      </w:r>
      <w:hyperlink r:id="rId112">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3"/>
    <w:bookmarkStart w:id="115" w:name="ref-trugman_why_2021"/>
    <w:p>
      <w:pPr>
        <w:pStyle w:val="Bibliography"/>
      </w:pPr>
      <w:r>
        <w:t xml:space="preserve">Trugman, A.T., Anderegg, L.D.L., Anderegg, W.R.L., Das, A.J. &amp; Stephenson, N.L. (2021).</w:t>
      </w:r>
      <w:r>
        <w:t xml:space="preserve"> </w:t>
      </w:r>
      <w:hyperlink r:id="rId114">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15"/>
    <w:bookmarkStart w:id="117" w:name="ref-vasey_intraspecific_2022"/>
    <w:p>
      <w:pPr>
        <w:pStyle w:val="Bibliography"/>
      </w:pPr>
      <w:r>
        <w:t xml:space="preserve">Vasey, G.L., Weisberg, P.J. &amp; Urza, A.K. (2022).</w:t>
      </w:r>
      <w:r>
        <w:t xml:space="preserve"> </w:t>
      </w:r>
      <w:hyperlink r:id="rId116">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17"/>
    <w:bookmarkStart w:id="118"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18"/>
    <w:bookmarkStart w:id="120" w:name="ref-vicente-serrano_multiscalar_2010"/>
    <w:p>
      <w:pPr>
        <w:pStyle w:val="Bibliography"/>
      </w:pPr>
      <w:r>
        <w:t xml:space="preserve">Vicente-Serrano, S.M., Beguería, S. &amp; López-Moreno, J.I. (2010).</w:t>
      </w:r>
      <w:r>
        <w:t xml:space="preserve"> </w:t>
      </w:r>
      <w:hyperlink r:id="rId119">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0"/>
    <w:bookmarkStart w:id="122" w:name="ref-vico_how_2017a"/>
    <w:p>
      <w:pPr>
        <w:pStyle w:val="Bibliography"/>
      </w:pPr>
      <w:r>
        <w:t xml:space="preserve">Vico, G., Dralle, D., Feng, X., Thompson, S. &amp; Manzoni, S. (2017).</w:t>
      </w:r>
      <w:r>
        <w:t xml:space="preserve"> </w:t>
      </w:r>
      <w:hyperlink r:id="rId121">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2"/>
    <w:bookmarkStart w:id="124"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3">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4"/>
    <w:bookmarkStart w:id="126" w:name="ref-vlam_temperature_2014"/>
    <w:p>
      <w:pPr>
        <w:pStyle w:val="Bibliography"/>
      </w:pPr>
      <w:r>
        <w:t xml:space="preserve">Vlam, M., Baker, P.J., Bunyavejchewin, S. &amp; Zuidema, P.A. (2014).</w:t>
      </w:r>
      <w:r>
        <w:t xml:space="preserve"> </w:t>
      </w:r>
      <w:hyperlink r:id="rId125">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26"/>
    <w:bookmarkStart w:id="128" w:name="ref-williams_deciduousness_2008"/>
    <w:p>
      <w:pPr>
        <w:pStyle w:val="Bibliography"/>
      </w:pPr>
      <w:r>
        <w:t xml:space="preserve">Williams, L.J., Bunyavejchewin, S. &amp; Baker, P.J. (2008).</w:t>
      </w:r>
      <w:r>
        <w:t xml:space="preserve"> </w:t>
      </w:r>
      <w:hyperlink r:id="rId127">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28"/>
    <w:bookmarkStart w:id="129"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29"/>
    <w:bookmarkStart w:id="131"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0">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1"/>
    <w:bookmarkStart w:id="133" w:name="ref-zuleta_droughtinduced_2017"/>
    <w:p>
      <w:pPr>
        <w:pStyle w:val="Bibliography"/>
      </w:pPr>
      <w:r>
        <w:t xml:space="preserve">Zuleta, D., Duque, A., Cardenas, D., Muller-Landau, H.C. &amp; Davies, S.J. (2017).</w:t>
      </w:r>
      <w:r>
        <w:t xml:space="preserve"> </w:t>
      </w:r>
      <w:hyperlink r:id="rId132">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3"/>
    <w:bookmarkEnd w:id="134"/>
    <w:p>
      <w:r>
        <w:br w:type="page"/>
      </w:r>
    </w:p>
    <w:bookmarkEnd w:id="135"/>
    <w:bookmarkStart w:id="137" w:name="tables"/>
    <w:p>
      <w:pPr>
        <w:pStyle w:val="Heading1"/>
      </w:pPr>
      <w:r>
        <w:t xml:space="preserve">Tables</w:t>
      </w:r>
    </w:p>
    <w:p>
      <w:pPr>
        <w:pStyle w:val="TableCaption"/>
      </w:pPr>
      <w:bookmarkStart w:id="136" w:name="tab:table"/>
      <w:bookmarkEnd w:id="13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37"/>
    <w:bookmarkStart w:id="138" w:name="figure-legends"/>
    <w:p>
      <w:pPr>
        <w:pStyle w:val="Heading1"/>
      </w:pPr>
      <w:r>
        <w:t xml:space="preserve">Figure Legends</w:t>
      </w:r>
    </w:p>
    <w:p>
      <w:pPr>
        <w:pStyle w:val="FirstParagraph"/>
      </w:pPr>
      <w:r>
        <w:rPr>
          <w:iCs/>
          <w:i/>
          <w:bCs/>
          <w:b/>
        </w:rPr>
        <w:t xml:space="preserve">Figure 1. Climatic characteristics of the focal drought years (black in 2010, purple in 2015, orange in 2020)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for each drought year. A k-month SPEI integrates over k months ending in the month current month. Across all panels, light blue background represents the average wet-season,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crown exposure classes in 2010, 2015 and 2020.</w:t>
      </w:r>
    </w:p>
    <w:bookmarkEnd w:id="138"/>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98"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12" Target="https://doi.org/10.1007/s00442-013-2724-6" TargetMode="External" /><Relationship Type="http://schemas.openxmlformats.org/officeDocument/2006/relationships/hyperlink" Id="rId125"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7" Target="https://doi.org/10.1016/j.dendro.2019.04.001" TargetMode="External" /><Relationship Type="http://schemas.openxmlformats.org/officeDocument/2006/relationships/hyperlink" Id="rId114" Target="https://doi.org/10.1016/j.tree.2021.02.001" TargetMode="External" /><Relationship Type="http://schemas.openxmlformats.org/officeDocument/2006/relationships/hyperlink" Id="rId80"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1"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7" Target="https://doi.org/10.1038/s41467-022-28824-5" TargetMode="External" /><Relationship Type="http://schemas.openxmlformats.org/officeDocument/2006/relationships/hyperlink" Id="rId89"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85"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1"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09"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6" Target="https://doi.org/10.1111/gcb.16082" TargetMode="External" /><Relationship Type="http://schemas.openxmlformats.org/officeDocument/2006/relationships/hyperlink" Id="rId78"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3" Target="https://doi.org/10.1111/nph.16996" TargetMode="External" /><Relationship Type="http://schemas.openxmlformats.org/officeDocument/2006/relationships/hyperlink" Id="rId82" Target="https://doi.org/10.1111/nph.17187" TargetMode="External" /><Relationship Type="http://schemas.openxmlformats.org/officeDocument/2006/relationships/hyperlink" Id="rId100"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49"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3" Target="https://doi.org/10.32614/CRAN.package.pvldcurve" TargetMode="External" /><Relationship Type="http://schemas.openxmlformats.org/officeDocument/2006/relationships/hyperlink" Id="rId105" Target="https://doi.org/10.5194/cp-12-1889-2016" TargetMode="External" /><Relationship Type="http://schemas.openxmlformats.org/officeDocument/2006/relationships/hyperlink" Id="rId96"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98" Target="https://doi.org/10.1002/2017GL076521" TargetMode="External" /><Relationship Type="http://schemas.openxmlformats.org/officeDocument/2006/relationships/hyperlink" Id="rId132" Target="https://doi.org/10.1002/ecy.1950" TargetMode="External" /><Relationship Type="http://schemas.openxmlformats.org/officeDocument/2006/relationships/hyperlink" Id="rId127" Target="https://doi.org/10.1007/s00442-007-0938-1" TargetMode="External" /><Relationship Type="http://schemas.openxmlformats.org/officeDocument/2006/relationships/hyperlink" Id="rId112" Target="https://doi.org/10.1007/s00442-013-2724-6" TargetMode="External" /><Relationship Type="http://schemas.openxmlformats.org/officeDocument/2006/relationships/hyperlink" Id="rId125" Target="https://doi.org/10.1007/s00442-013-2846-x" TargetMode="External" /><Relationship Type="http://schemas.openxmlformats.org/officeDocument/2006/relationships/hyperlink" Id="rId63" Target="https://doi.org/10.1007/s00442-020-04760-3" TargetMode="External" /><Relationship Type="http://schemas.openxmlformats.org/officeDocument/2006/relationships/hyperlink" Id="rId107" Target="https://doi.org/10.1016/j.dendro.2019.04.001" TargetMode="External" /><Relationship Type="http://schemas.openxmlformats.org/officeDocument/2006/relationships/hyperlink" Id="rId114" Target="https://doi.org/10.1016/j.tree.2021.02.001" TargetMode="External" /><Relationship Type="http://schemas.openxmlformats.org/officeDocument/2006/relationships/hyperlink" Id="rId80" Target="https://doi.org/10.1017/9781009157896" TargetMode="External" /><Relationship Type="http://schemas.openxmlformats.org/officeDocument/2006/relationships/hyperlink" Id="rId57" Target="https://doi.org/10.1029/2021JG006557" TargetMode="External" /><Relationship Type="http://schemas.openxmlformats.org/officeDocument/2006/relationships/hyperlink" Id="rId91"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87" Target="https://doi.org/10.1038/s41467-022-28824-5" TargetMode="External" /><Relationship Type="http://schemas.openxmlformats.org/officeDocument/2006/relationships/hyperlink" Id="rId89" Target="https://doi.org/10.1038/s41467-023-43083-8"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0" Target="https://doi.org/10.1038/s41561-022-00911-8" TargetMode="External" /><Relationship Type="http://schemas.openxmlformats.org/officeDocument/2006/relationships/hyperlink" Id="rId85"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1" Target="https://doi.org/10.1088/1748-9326/aa6f1b" TargetMode="External" /><Relationship Type="http://schemas.openxmlformats.org/officeDocument/2006/relationships/hyperlink" Id="rId61" Target="https://doi.org/10.1088/1748-9326/aa75d7"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09"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6" Target="https://doi.org/10.1111/gcb.16082" TargetMode="External" /><Relationship Type="http://schemas.openxmlformats.org/officeDocument/2006/relationships/hyperlink" Id="rId78" Target="https://doi.org/10.1111/j.1365-2435.2009.01614.x" TargetMode="External" /><Relationship Type="http://schemas.openxmlformats.org/officeDocument/2006/relationships/hyperlink" Id="rId59" Target="https://doi.org/10.1111/j.1365-2486.2009.02004.x" TargetMode="External" /><Relationship Type="http://schemas.openxmlformats.org/officeDocument/2006/relationships/hyperlink" Id="rId116"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3" Target="https://doi.org/10.1111/nph.16996" TargetMode="External" /><Relationship Type="http://schemas.openxmlformats.org/officeDocument/2006/relationships/hyperlink" Id="rId82" Target="https://doi.org/10.1111/nph.17187" TargetMode="External" /><Relationship Type="http://schemas.openxmlformats.org/officeDocument/2006/relationships/hyperlink" Id="rId100" Target="https://doi.org/10.1111/nph.17266" TargetMode="External" /><Relationship Type="http://schemas.openxmlformats.org/officeDocument/2006/relationships/hyperlink" Id="rId55" Target="https://doi.org/10.1111/nph.17464" TargetMode="External" /><Relationship Type="http://schemas.openxmlformats.org/officeDocument/2006/relationships/hyperlink" Id="rId123"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49" Target="https://doi.org/10.1146/annurev-earth-082517-010235" TargetMode="External" /><Relationship Type="http://schemas.openxmlformats.org/officeDocument/2006/relationships/hyperlink" Id="rId119" Target="https://doi.org/10.1175/2009JCLI2909.1" TargetMode="External" /><Relationship Type="http://schemas.openxmlformats.org/officeDocument/2006/relationships/hyperlink" Id="rId52" Target="https://doi.org/10.18637/jss.v080.i01" TargetMode="External" /><Relationship Type="http://schemas.openxmlformats.org/officeDocument/2006/relationships/hyperlink" Id="rId103" Target="https://doi.org/10.32614/CRAN.package.pvldcurve" TargetMode="External" /><Relationship Type="http://schemas.openxmlformats.org/officeDocument/2006/relationships/hyperlink" Id="rId105" Target="https://doi.org/10.5194/cp-12-1889-2016" TargetMode="External" /><Relationship Type="http://schemas.openxmlformats.org/officeDocument/2006/relationships/hyperlink" Id="rId96"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2025-06-25T19:20:26Z</dcterms:created>
  <dcterms:modified xsi:type="dcterms:W3CDTF">2025-06-25T19:20:26Z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