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5026</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to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in one particular environment may prove vulnerable to a drought with different characteristics or in a different environment.</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Supporting prediction</w:t>
      </w:r>
      <w:r>
        <w:t xml:space="preserve"> </w:t>
      </w:r>
      <w:r>
        <w:rPr>
          <w:iCs/>
          <w:i/>
        </w:rPr>
        <w:t xml:space="preserve">i</w:t>
      </w:r>
      <w:r>
        <w:t xml:space="preserve">, 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Supporting prediction</w:t>
      </w:r>
      <w:r>
        <w:t xml:space="preserve"> </w:t>
      </w:r>
      <w:r>
        <w:rPr>
          <w:iCs/>
          <w:i/>
        </w:rPr>
        <w:t xml:space="preserve">ii</w:t>
      </w:r>
      <w:r>
        <w:t xml:space="preserve">, 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Supporting prediction</w:t>
      </w:r>
      <w:r>
        <w:t xml:space="preserve"> </w:t>
      </w:r>
      <w:r>
        <w:rPr>
          <w:iCs/>
          <w:i/>
        </w:rPr>
        <w:t xml:space="preserve">i</w:t>
      </w:r>
      <w:r>
        <w:t xml:space="preserve">, individual trees did not respond similarly to the three drought events (Fig S6).</w:t>
      </w:r>
    </w:p>
    <w:p>
      <w:pPr>
        <w:pStyle w:val="BodyText"/>
      </w:pPr>
      <w:r>
        <w:t xml:space="preserve">Supporting prediction</w:t>
      </w:r>
      <w:r>
        <w:t xml:space="preserve"> </w:t>
      </w:r>
      <w:r>
        <w:rPr>
          <w:iCs/>
          <w:i/>
        </w:rPr>
        <w:t xml:space="preserve">iii</w:t>
      </w:r>
      <w:r>
        <w:t xml:space="preserve">, TWI had different effects across droughts.</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Supporting prediction</w:t>
      </w:r>
      <w:r>
        <w:t xml:space="preserve"> </w:t>
      </w:r>
      <w:r>
        <w:rPr>
          <w:iCs/>
          <w:i/>
        </w:rPr>
        <w:t xml:space="preserve">iii</w:t>
      </w:r>
      <w:r>
        <w:t xml:space="preserve">, drought sensitivities of individuals with different crown exposures varied across droughts (Fig 5).</w:t>
      </w:r>
      <w:r>
        <w:t xml:space="preserve"> </w:t>
      </w: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dry-season droughts in 2010 and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2025-06-27T17:45:54Z</dcterms:created>
  <dcterms:modified xsi:type="dcterms:W3CDTF">2025-06-27T17:45:54Z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