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 [IPCC]</w:t>
      </w:r>
      <w:r>
        <w:t xml:space="preserve"> </w:t>
      </w:r>
      <w:r>
        <w:t xml:space="preserve">- Understanding these impacts is an important research priority, particularly for tropical forests, which harbor high species diversity and are critical in the global C cycle.</w:t>
      </w:r>
      <w:r>
        <w:t xml:space="preserve"> </w:t>
      </w:r>
      <w:r>
        <w:t xml:space="preserve">- However,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 We know that drought characteristics, species traits, and microenvironment all affect tree growth responses.</w:t>
      </w:r>
      <w:r>
        <w:br/>
      </w:r>
      <w:r>
        <w:t xml:space="preserve">- However, we know little about their combined effects or potential interactions, which could fundamentally alter our understanding of forest responses to drought.</w:t>
      </w:r>
      <w:r>
        <w:br/>
      </w:r>
      <w:r>
        <w:t xml:space="preserve"> </w:t>
      </w:r>
      <w:r>
        <w:t xml:space="preserve">- Specifically, if drought tolerance is influenced independently by drought characteristics, species traits, and microenvironment, it is relatively straightforward to predict tree drought responses; for example, we’d expect a species that has proved relatively resistant to past droughts to be among the most drought-resistant species in any microhabitat and through any drought.</w:t>
      </w:r>
      <w:r>
        <w:t xml:space="preserve"> </w:t>
      </w:r>
      <w:r>
        <w:t xml:space="preserve">- In contrast, if these factors interact, the species and individuals that exhibit resistance to one drought may prove much more vulnerable in the next. The resultant amplification of the complexity and diversity of drought responses may act as a mechanism for promoting species diversity and stabilizing ecosystem function as drought regimes intensify.</w:t>
      </w:r>
    </w:p>
    <w:p>
      <w:pPr>
        <w:pStyle w:val="BodyText"/>
      </w:pPr>
      <w:r>
        <w:t xml:space="preserve">Drought characteristics can influence climatic drivers of tree growth and their timing, and affect drought sensitivity of tropical trees.</w:t>
      </w:r>
      <w:r>
        <w:t xml:space="preserve"> </w:t>
      </w:r>
      <w:r>
        <w:t xml:space="preserve">- Tree growth in both everwet and seasonally dry tropical forests show predictable seasonal patterns</w:t>
      </w:r>
      <w:r>
        <w:t xml:space="preserve"> </w:t>
      </w:r>
      <w:r>
        <w:t xml:space="preserve">(Giraldo</w:t>
      </w:r>
      <w:r>
        <w:t xml:space="preserve"> </w:t>
      </w:r>
      <w:r>
        <w:rPr>
          <w:iCs/>
          <w:i/>
        </w:rPr>
        <w:t xml:space="preserve">et al.</w:t>
      </w:r>
      <w:r>
        <w:t xml:space="preserve"> </w:t>
      </w:r>
      <w:r>
        <w:t xml:space="preserve">2023;</w:t>
      </w:r>
      <w:r>
        <w:t xml:space="preserve"> </w:t>
      </w:r>
      <w:r>
        <w:rPr>
          <w:bCs/>
          <w:b/>
        </w:rPr>
        <w:t xml:space="preserve">garcía-cervigón_climate_20200?</w:t>
      </w:r>
      <w:r>
        <w:t xml:space="preserve">)</w:t>
      </w:r>
      <w:r>
        <w:t xml:space="preserve">, but with differences among these patterns.</w:t>
      </w:r>
      <w:r>
        <w:t xml:space="preserve"> </w:t>
      </w:r>
      <w:r>
        <w:t xml:space="preserve">- Drought definitions are many, but here we refer to hot dry conditions anomalous from long-term means</w:t>
      </w:r>
      <w:r>
        <w:t xml:space="preserve"> </w:t>
      </w:r>
      <w:r>
        <w:t xml:space="preserve">- Drought is anomalously hot/dry conditios, but different types based on which variable is anomalous.</w:t>
      </w:r>
      <w:r>
        <w:br/>
      </w:r>
      <w:r>
        <w:t xml:space="preserve">- Droughts are characterised by anomalously hot and/or dry conditions, but these can occur at any time during the seasonal phenology of tree growth.</w:t>
      </w:r>
      <w:r>
        <w:br/>
      </w:r>
      <w:r>
        <w:t xml:space="preserve">- The effect of drought timing can be more pronounced in seasonally dry tropical forests because of strong seasonality in climate and consequently on photosynthesis, allocation and growth (including dry seasons unfavourable to growth).</w:t>
      </w:r>
      <w:r>
        <w:br/>
      </w:r>
      <w:r>
        <w:t xml:space="preserve">- They are also at thermal/water stress tolerance thresholds, making them more vulnerable to drought</w:t>
      </w:r>
      <w:r>
        <w:t xml:space="preserve"> </w:t>
      </w:r>
      <w:r>
        <w:t xml:space="preserve">(Allen</w:t>
      </w:r>
      <w:r>
        <w:t xml:space="preserve"> </w:t>
      </w:r>
      <w:r>
        <w:rPr>
          <w:iCs/>
          <w:i/>
        </w:rPr>
        <w:t xml:space="preserve">et al.</w:t>
      </w:r>
      <w:r>
        <w:t xml:space="preserve"> </w:t>
      </w:r>
      <w:r>
        <w:t xml:space="preserve">2017)</w:t>
      </w:r>
      <w:r>
        <w:t xml:space="preserve">, potentially explaining stand-level patterns</w:t>
      </w:r>
      <w:r>
        <w:t xml:space="preserve"> </w:t>
      </w:r>
      <w:r>
        <w:t xml:space="preserve">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 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br/>
      </w:r>
      <w:r>
        <w:t xml:space="preserve">- DRY SEASON IS NOT DROUGHT; dry season has hot, dry conditions periodic and predictable, but anomalously hot, dry conditions, unpredictable.</w:t>
      </w:r>
      <w:r>
        <w:br/>
      </w:r>
      <w:r>
        <w:t xml:space="preserve">- Trees in seasonally dry tropical forests exhibit a mix of strategies - along a spectrum of conservative to acquisitive water-use - that support survival and growth despite strong seasonal hot/dry stress, which might confer differential advantages in drought conditions.</w:t>
      </w:r>
    </w:p>
    <w:p>
      <w:pPr>
        <w:pStyle w:val="BodyText"/>
      </w:pPr>
      <w:r>
        <w:t xml:space="preserve">Trees in seasonally dry forests have strategies that span and interact across timescales to maximise growth and survival under periodic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ecophysiological - e.g. negative TLPs, plasticity in deciduousness (root/shoot)</w:t>
      </w:r>
      <w:r>
        <w:t xml:space="preserve"> </w:t>
      </w:r>
      <w:r>
        <w:t xml:space="preserve">- These spectrum of species strategies in seasonally dry forests for demographic stability under hot dry seasons might have distinct consequences for sensitivity, based on drought characteristics.</w:t>
      </w:r>
    </w:p>
    <w:p>
      <w:pPr>
        <w:pStyle w:val="BodyText"/>
      </w:pPr>
      <w:r>
        <w:t xml:space="preserve">Individual growth responses to drought can also depend on the specific microenvironments they experience that can lead to distict atmospheric and hydrological stresses with ecological consequences.</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br/>
      </w:r>
      <w:r>
        <w:t xml:space="preserve">- Some of these adaptations may confer drought sensitivity and buffer stem growth declines during drought years, or conversely, may tradeoff with advantages in normal years, leading to a diversity of responses within a drought event.</w:t>
      </w:r>
      <w:r>
        <w:br/>
      </w:r>
      <w:r>
        <w:t xml:space="preserve">- Moreover, drought characteristics can positively or negatively interfere with these factors, leading to consistent or heterogenous sensitivities across drought events.</w:t>
      </w:r>
    </w:p>
    <w:p>
      <w:pPr>
        <w:pStyle w:val="BodyText"/>
      </w:pP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c23e9d5622289811ff74ac15f14b23934aee219"/>
    <w:p>
      <w:pPr>
        <w:pStyle w:val="Heading2"/>
      </w:pPr>
      <w:r>
        <w:t xml:space="preserve">Drought sensitivity across distinct drought events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5" w:name="X059fbc513bd12695e1d89010b235c7f920b4b68"/>
    <w:p>
      <w:pPr>
        <w:pStyle w:val="Heading2"/>
      </w:pPr>
      <w:r>
        <w:t xml:space="preserve">Predictors of species-level variation in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2" name="Picture"/>
            <a:graphic>
              <a:graphicData uri="http://schemas.openxmlformats.org/drawingml/2006/picture">
                <pic:pic>
                  <pic:nvPicPr>
                    <pic:cNvPr descr="display/Fig4.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4">
        <w:r>
          <w:rPr>
            <w:rStyle w:val="Hyperlink"/>
          </w:rPr>
          <w:t xml:space="preserve">https://github.com/forestgeo/growth-precip-thailand/issues/13</w:t>
        </w:r>
      </w:hyperlink>
    </w:p>
    <w:bookmarkEnd w:id="45"/>
    <w:bookmarkStart w:id="50" w:name="X3201409ee9d02256f856fd74ae809750939abbf"/>
    <w:p>
      <w:pPr>
        <w:pStyle w:val="Heading2"/>
      </w:pPr>
      <w:r>
        <w:t xml:space="preserve">Predictors of stem-level variation in drought sensitivity</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br/>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w:t>
      </w:r>
      <w:r>
        <w:br/>
      </w:r>
      <w:r>
        <w:t xml:space="preserve">Interestingly, in the wet-season drought, we also show that evergreen and deciduous species had divergent responses along a wetness gradient; evergreen trees fared better and deciduous species suffered worse declines in wetter sites.</w:t>
      </w:r>
      <w:r>
        <w:br/>
      </w:r>
      <w:r>
        <w:t xml:space="preserve">Further, besides consistent negative effects of crown exposure, we found that the drivers of variation among species and individuals in drought sensitivity were dissimilar between the drought events.</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w:t>
      </w:r>
      <w:r>
        <w:br/>
      </w:r>
      <w:r>
        <w:t xml:space="preserve">Taken together, our analysis of tree growth in two different drought years, and spanning meaningful variation, shows that species and individuals can respond differently to different drought events.</w:t>
      </w:r>
      <w:r>
        <w:br/>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 Although our analysis spans representative spatial and ecological variation, we are limited in quantitatively analysing differences among droughts and variation in drought characteristics, because of low sample size.</w:t>
      </w:r>
      <w:r>
        <w:br/>
      </w:r>
      <w:r>
        <w:t xml:space="preserve">- Our analysis spans ecological and spatial/environmental variation realistic to tropical trees, and beyond previous such analyses.</w:t>
      </w:r>
      <w:r>
        <w:t xml:space="preserve"> </w:t>
      </w:r>
      <w:r>
        <w:t xml:space="preserve">- But given the relative shorter duration of the timeseries, the effort required to collect these data, and the unpredictability of drought events, our analysis only included two specific droughts.</w:t>
      </w:r>
      <w:r>
        <w:t xml:space="preserve"> </w:t>
      </w:r>
      <w:r>
        <w:t xml:space="preserve">- Thus, quantitative analyses parsing out the specific effects of drought characteristics like relative influence of timing and degree of anomaly is currently impossible, limiting interpretations.</w:t>
      </w:r>
      <w:r>
        <w:br/>
      </w:r>
      <w:r>
        <w:t xml:space="preserve">- However, as the record continues to grow, so does the potential to answer these questions.</w:t>
      </w:r>
    </w:p>
    <w:p>
      <w:pPr>
        <w:pStyle w:val="BodyText"/>
      </w:pPr>
      <w:r>
        <w:t xml:space="preserve">b: We analysed species traits as static, but we might be missing intraspecific and plastic variation in drought sensitivity traits, as well as other axes of trait variation that might explain variation in drought sensitivity.</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r>
        <w:br/>
      </w:r>
      <w:r>
        <w:t xml:space="preserve">- While leaf deciduousness was the main axis of hydraulic conservative strategy that we considered, leaf-level stomatal regulation and belowground root loss etc. are other potential strategies for conservative water use, and our interpretation of species patterns may be limited by our understanding of these processes across species.</w:t>
      </w:r>
      <w:r>
        <w:br/>
      </w:r>
      <w:r>
        <w:t xml:space="preserve">- Surprisingly, although deciduousness may have had an advantage in the dry season drought, because this strategy -&gt; conservative water use in the dry season, species differences in this drought were not predicted by deciduousness.</w:t>
      </w:r>
    </w:p>
    <w:p>
      <w:pPr>
        <w:pStyle w:val="BodyText"/>
      </w:pPr>
      <w:r>
        <w:t xml:space="preserve">a: Differential allocation to growth may not mean negative outcomes, it might mean demographic trade-offs</w:t>
      </w:r>
      <w:r>
        <w:t xml:space="preserve"> </w:t>
      </w:r>
      <w:r>
        <w:t xml:space="preserve">- Differences in allocation to growth may not be the complete picture - may have altered allocation to mortality or reproduction.</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t xml:space="preserve"> </w:t>
      </w:r>
      <w:r>
        <w:rPr>
          <w:iCs/>
          <w:i/>
        </w:rPr>
        <w:t xml:space="preserve">for where else might they be allocating to?</w:t>
      </w:r>
      <w:r>
        <w:t xml:space="preserve"> </w:t>
      </w:r>
      <w:r>
        <w:t xml:space="preserve">- 2015 ENSO drought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also NSCs and then compensatory growth</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pStyle w:val="BodyText"/>
      </w:pPr>
      <w:r>
        <w:t xml:space="preserve">b: Tropical dry forests also represent periodic hot/dry conditions, leading to adaptations or other genetic variation for resistance, but this might not hold in other bioclimatic zones where ecological variability is different.</w:t>
      </w:r>
      <w:r>
        <w:br/>
      </w:r>
      <w:r>
        <w:t xml:space="preserve">- Trait variation across forest and bioclimatic types</w:t>
      </w:r>
      <w:r>
        <w:t xml:space="preserve"> </w:t>
      </w:r>
      <w:r>
        <w:t xml:space="preserve">- Careful interpretation across forest types with different adaptive pressures.</w:t>
      </w:r>
      <w:r>
        <w:br/>
      </w:r>
      <w:r>
        <w:t xml:space="preserve">- However, some generalisation is possible because despite low seasonality in climatic conditions, everwet forest species also show seasonal growth patterns.</w:t>
      </w:r>
    </w:p>
    <w:p>
      <w:pPr>
        <w:pStyle w:val="BodyText"/>
      </w:pPr>
      <w:r>
        <w:t xml:space="preserve">Despite consistent growth declines at the plot level across drought events, we show that this scale obscures a variety of ecological responses at the species and tree level that are heterogeneous across drought events.</w:t>
      </w:r>
      <w:r>
        <w:br/>
      </w:r>
      <w:r>
        <w:t xml:space="preserve">- 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 However, care must be taken in interpretation, as the 2015-16 ENSO was stronger.</w:t>
      </w:r>
      <w:r>
        <w:t xml:space="preserve"> </w:t>
      </w:r>
      <w:r>
        <w:t xml:space="preserve">- Influence of deciduousness was different in the two different droughts.</w:t>
      </w:r>
      <w:r>
        <w:t xml:space="preserve"> </w:t>
      </w:r>
      <w:r>
        <w:t xml:space="preserve">-</w:t>
      </w:r>
      <w:r>
        <w:t xml:space="preserve"> </w:t>
      </w:r>
      <w:r>
        <w:rPr>
          <w:iCs/>
          <w:i/>
        </w:rPr>
        <w:t xml:space="preserve">Afzelia xylocarpa</w:t>
      </w:r>
      <w:r>
        <w:t xml:space="preserve">, one of the tree ring species had the most distinct (positive) sensitivity in the dry season drought, but a large negative sensitivity in the wet season drought - one of the most distinct responses.</w:t>
      </w:r>
      <w:r>
        <w:br/>
      </w:r>
      <w:r>
        <w:t xml:space="preserve">- More generally, tree ring and census estimates of drought sensitivity in seasonally dry tropical forests may be biased towards fast growing (measurable using tape) or dry-associated species (that form annual tree rings) - which might have been capturing only the more dramatic effects.</w:t>
      </w:r>
      <w:r>
        <w:t xml:space="preserve"> </w:t>
      </w:r>
      <w:r>
        <w:t xml:space="preserve">- 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we show dimensions beyond that with possible consequences for management and restoration</w:t>
      </w:r>
      <w:r>
        <w:t xml:space="preserve"> </w:t>
      </w:r>
      <w:r>
        <w:t xml:space="preserve">- Although net decrease at the plot level (agreement with landscape-scale in</w:t>
      </w:r>
      <w:r>
        <w:t xml:space="preserve"> </w:t>
      </w:r>
      <w:r>
        <w:t xml:space="preserve">(</w:t>
      </w:r>
      <w:r>
        <w:rPr>
          <w:bCs/>
          <w:b/>
        </w:rPr>
        <w:t xml:space="preserve">aguirre-guiterrez?</w:t>
      </w:r>
      <w:r>
        <w:t xml:space="preserve">)</w:t>
      </w:r>
      <w:r>
        <w:t xml:space="preserve">), we show evidence that the same strategies are not uniformly successfully across spatiotemporal climatic variation.</w:t>
      </w:r>
      <w:r>
        <w:br/>
      </w:r>
      <w:r>
        <w:t xml:space="preserve">- Frameworks that include ecological complexity and covarying traits with environment like</w:t>
      </w:r>
      <w:r>
        <w:t xml:space="preserve"> </w:t>
      </w:r>
      <w:r>
        <w:t xml:space="preserve">Trugman</w:t>
      </w:r>
      <w:r>
        <w:t xml:space="preserve"> </w:t>
      </w:r>
      <w:r>
        <w:rPr>
          <w:iCs/>
          <w:i/>
        </w:rPr>
        <w:t xml:space="preserve">et al.</w:t>
      </w:r>
      <w:r>
        <w:t xml:space="preserve"> </w:t>
      </w:r>
      <w:r>
        <w:t xml:space="preserve">(2021)</w:t>
      </w:r>
      <w:r>
        <w:t xml:space="preserve"> </w:t>
      </w:r>
      <w:r>
        <w:t xml:space="preserve">also assume individual trees to have consistent sensitivity across events, but our results demonstrate temporal dimensions of variation, at least partially attributable to drought characteristics.</w:t>
      </w:r>
      <w:r>
        <w:br/>
      </w:r>
      <w:r>
        <w:t xml:space="preserve">- Our results indicate that drought responses in tropical trees may not be a fixed response across events, but jointly shaped by…</w:t>
      </w:r>
      <w:r>
        <w:t xml:space="preserve"> </w:t>
      </w:r>
      <w:r>
        <w:t xml:space="preserve">- Given these inconsistencies, diverse stands that may represent greater variation in ecological and evolutionary strategies, may have mechanisms for stable functioning under future droughts.</w:t>
      </w:r>
    </w:p>
    <w:p>
      <w:pPr>
        <w:numPr>
          <w:ilvl w:val="0"/>
          <w:numId w:val="1001"/>
        </w:numPr>
        <w:pStyle w:val="Compact"/>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04" w:name="references"/>
    <w:p>
      <w:pPr>
        <w:pStyle w:val="Heading1"/>
      </w:pPr>
      <w:r>
        <w:t xml:space="preserve">References</w:t>
      </w:r>
    </w:p>
    <w:bookmarkStart w:id="103" w:name="refs"/>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3">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4"/>
    <w:bookmarkStart w:id="66" w:name="ref-bennett_larger_2015"/>
    <w:p>
      <w:pPr>
        <w:pStyle w:val="Bibliography"/>
      </w:pPr>
      <w:r>
        <w:t xml:space="preserve">Bennett, A.C., McDowell, N.G., Allen, C.D. &amp; Anderson-Teixeira, K.J. (2015).</w:t>
      </w:r>
      <w:r>
        <w:t xml:space="preserve"> </w:t>
      </w:r>
      <w:hyperlink r:id="rId6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6"/>
    <w:bookmarkStart w:id="6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8"/>
    <w:bookmarkStart w:id="70"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9">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0"/>
    <w:bookmarkStart w:id="72" w:name="ref-clark_annual_2021"/>
    <w:p>
      <w:pPr>
        <w:pStyle w:val="Bibliography"/>
      </w:pPr>
      <w:r>
        <w:t xml:space="preserve">Clark, D.A., Clark, D.B. &amp; Oberbauer, S.F. (2021).</w:t>
      </w:r>
      <w:r>
        <w:t xml:space="preserve"> </w:t>
      </w:r>
      <w:hyperlink r:id="rId71">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2"/>
    <w:bookmarkStart w:id="74" w:name="ref-clark_annual_2010"/>
    <w:p>
      <w:pPr>
        <w:pStyle w:val="Bibliography"/>
      </w:pPr>
      <w:r>
        <w:t xml:space="preserve">Clark, D.B., Clark, D.A. &amp; Oberbauer, S.F. (2010).</w:t>
      </w:r>
      <w:r>
        <w:t xml:space="preserve"> </w:t>
      </w:r>
      <w:hyperlink r:id="rId73">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4"/>
    <w:bookmarkStart w:id="76" w:name="ref-desouza_drought_2020"/>
    <w:p>
      <w:pPr>
        <w:pStyle w:val="Bibliography"/>
      </w:pPr>
      <w:r>
        <w:t xml:space="preserve">De Souza, B.C., Carvalho, E.C.D., Oliveira, R.S., De Araujo, F.S., De Lima, A.L.A. &amp; Rodal, M.J.N. (2020).</w:t>
      </w:r>
      <w:r>
        <w:t xml:space="preserve"> </w:t>
      </w:r>
      <w:hyperlink r:id="rId7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6"/>
    <w:bookmarkStart w:id="78"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77">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78"/>
    <w:bookmarkStart w:id="80"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0"/>
    <w:bookmarkStart w:id="81"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1"/>
    <w:bookmarkStart w:id="83" w:name="ref-machado_forest_2023"/>
    <w:p>
      <w:pPr>
        <w:pStyle w:val="Bibliography"/>
      </w:pPr>
      <w:r>
        <w:t xml:space="preserve">Machado, S., Valle, D., Toh, K.B. &amp; Johnson, D.J. (2023).</w:t>
      </w:r>
      <w:r>
        <w:t xml:space="preserve"> </w:t>
      </w:r>
      <w:hyperlink r:id="rId82">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3"/>
    <w:bookmarkStart w:id="8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8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85"/>
    <w:bookmarkStart w:id="86" w:name="ref-muller-landau_metal_2008"/>
    <w:p>
      <w:pPr>
        <w:pStyle w:val="Bibliography"/>
      </w:pPr>
      <w:r>
        <w:t xml:space="preserve">Muller-Landau, H.C. (2008). Metal</w:t>
      </w:r>
      <w:r>
        <w:t xml:space="preserve"> </w:t>
      </w:r>
      <w:r>
        <w:t xml:space="preserve">Band Dendrometer Protocol</w:t>
      </w:r>
      <w:r>
        <w:t xml:space="preserve">.</w:t>
      </w:r>
    </w:p>
    <w:bookmarkEnd w:id="86"/>
    <w:bookmarkStart w:id="88" w:name="ref-nutiprapun_effects_2023"/>
    <w:p>
      <w:pPr>
        <w:pStyle w:val="Bibliography"/>
      </w:pPr>
      <w:r>
        <w:t xml:space="preserve">Nutiprapun, P., Hermhuk, S., Nanami, S., Itoh, A., Kanzaki, M. &amp; Marod, D. (2023).</w:t>
      </w:r>
      <w:r>
        <w:t xml:space="preserve"> </w:t>
      </w:r>
      <w:hyperlink r:id="rId87">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88"/>
    <w:bookmarkStart w:id="8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9"/>
    <w:bookmarkStart w:id="91" w:name="ref-rüger_growth_2011"/>
    <w:p>
      <w:pPr>
        <w:pStyle w:val="Bibliography"/>
      </w:pPr>
      <w:r>
        <w:t xml:space="preserve">Rüger, N., Berger, U., Hubbell, S.P., Vieilledent, G. &amp; Condit, R. (2011).</w:t>
      </w:r>
      <w:r>
        <w:t xml:space="preserve"> </w:t>
      </w:r>
      <w:hyperlink r:id="rId90">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91"/>
    <w:bookmarkStart w:id="93" w:name="ref-trugman_why_2021"/>
    <w:p>
      <w:pPr>
        <w:pStyle w:val="Bibliography"/>
      </w:pPr>
      <w:r>
        <w:t xml:space="preserve">Trugman, A.T., Anderegg, L.D.L., Anderegg, W.R.L., Das, A.J. &amp; Stephenson, N.L. (2021).</w:t>
      </w:r>
      <w:r>
        <w:t xml:space="preserve"> </w:t>
      </w:r>
      <w:hyperlink r:id="rId92">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93"/>
    <w:bookmarkStart w:id="9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9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5"/>
    <w:bookmarkStart w:id="97" w:name="ref-vlam_temperature_2014"/>
    <w:p>
      <w:pPr>
        <w:pStyle w:val="Bibliography"/>
      </w:pPr>
      <w:r>
        <w:t xml:space="preserve">Vlam, M., Baker, P.J., Bunyavejchewin, S. &amp; Zuidema, P.A. (2014).</w:t>
      </w:r>
      <w:r>
        <w:t xml:space="preserve"> </w:t>
      </w:r>
      <w:hyperlink r:id="rId9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7"/>
    <w:bookmarkStart w:id="99" w:name="ref-williams_deciduousness_2008"/>
    <w:p>
      <w:pPr>
        <w:pStyle w:val="Bibliography"/>
      </w:pPr>
      <w:r>
        <w:t xml:space="preserve">Williams, L.J., Bunyavejchewin, S. &amp; Baker, P.J. (2008).</w:t>
      </w:r>
      <w:r>
        <w:t xml:space="preserve"> </w:t>
      </w:r>
      <w:hyperlink r:id="rId9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9"/>
    <w:bookmarkStart w:id="10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00"/>
    <w:bookmarkStart w:id="10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0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02"/>
    <w:bookmarkEnd w:id="103"/>
    <w:bookmarkEnd w:id="104"/>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98" Target="https://doi.org/10.1007/s00442-007-0938-1" TargetMode="External" /><Relationship Type="http://schemas.openxmlformats.org/officeDocument/2006/relationships/hyperlink" Id="rId96" Target="https://doi.org/10.1007/s00442-013-2846-x" TargetMode="External" /><Relationship Type="http://schemas.openxmlformats.org/officeDocument/2006/relationships/hyperlink" Id="rId75" Target="https://doi.org/10.1007/s00442-020-04760-3" TargetMode="External" /><Relationship Type="http://schemas.openxmlformats.org/officeDocument/2006/relationships/hyperlink" Id="rId92" Target="https://doi.org/10.1016/j.tree.2021.02.001" TargetMode="External" /><Relationship Type="http://schemas.openxmlformats.org/officeDocument/2006/relationships/hyperlink" Id="rId71" Target="https://doi.org/10.1029/2021JG006557" TargetMode="External" /><Relationship Type="http://schemas.openxmlformats.org/officeDocument/2006/relationships/hyperlink" Id="rId65" Target="https://doi.org/10.1038/nplants.2015.139" TargetMode="External" /><Relationship Type="http://schemas.openxmlformats.org/officeDocument/2006/relationships/hyperlink" Id="rId67" Target="https://doi.org/10.1038/s41558-023-01776-4" TargetMode="External" /><Relationship Type="http://schemas.openxmlformats.org/officeDocument/2006/relationships/hyperlink" Id="rId101"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77" Target="https://doi.org/10.1111/1365-2745.14069" TargetMode="External" /><Relationship Type="http://schemas.openxmlformats.org/officeDocument/2006/relationships/hyperlink" Id="rId82" Target="https://doi.org/10.1111/btp.13270"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3" Target="https://doi.org/10.1111/gcb.15982" TargetMode="External" /><Relationship Type="http://schemas.openxmlformats.org/officeDocument/2006/relationships/hyperlink" Id="rId87" Target="https://doi.org/10.1111/gcb.16466" TargetMode="External" /><Relationship Type="http://schemas.openxmlformats.org/officeDocument/2006/relationships/hyperlink" Id="rId73" Target="https://doi.org/10.1111/j.1365-2486.2009.02004.x" TargetMode="External" /><Relationship Type="http://schemas.openxmlformats.org/officeDocument/2006/relationships/hyperlink" Id="rId84" Target="https://doi.org/10.1111/nph.16996" TargetMode="External" /><Relationship Type="http://schemas.openxmlformats.org/officeDocument/2006/relationships/hyperlink" Id="rId79" Target="https://doi.org/10.1111/nph.17187" TargetMode="External" /><Relationship Type="http://schemas.openxmlformats.org/officeDocument/2006/relationships/hyperlink" Id="rId69" Target="https://doi.org/10.1111/nph.17464" TargetMode="External" /><Relationship Type="http://schemas.openxmlformats.org/officeDocument/2006/relationships/hyperlink" Id="rId94" Target="https://doi.org/10.1111/nph.18539" TargetMode="External" /><Relationship Type="http://schemas.openxmlformats.org/officeDocument/2006/relationships/hyperlink" Id="rId9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s00442-007-0938-1" TargetMode="External" /><Relationship Type="http://schemas.openxmlformats.org/officeDocument/2006/relationships/hyperlink" Id="rId96" Target="https://doi.org/10.1007/s00442-013-2846-x" TargetMode="External" /><Relationship Type="http://schemas.openxmlformats.org/officeDocument/2006/relationships/hyperlink" Id="rId75" Target="https://doi.org/10.1007/s00442-020-04760-3" TargetMode="External" /><Relationship Type="http://schemas.openxmlformats.org/officeDocument/2006/relationships/hyperlink" Id="rId92" Target="https://doi.org/10.1016/j.tree.2021.02.001" TargetMode="External" /><Relationship Type="http://schemas.openxmlformats.org/officeDocument/2006/relationships/hyperlink" Id="rId71" Target="https://doi.org/10.1029/2021JG006557" TargetMode="External" /><Relationship Type="http://schemas.openxmlformats.org/officeDocument/2006/relationships/hyperlink" Id="rId65" Target="https://doi.org/10.1038/nplants.2015.139" TargetMode="External" /><Relationship Type="http://schemas.openxmlformats.org/officeDocument/2006/relationships/hyperlink" Id="rId67" Target="https://doi.org/10.1038/s41558-023-01776-4" TargetMode="External" /><Relationship Type="http://schemas.openxmlformats.org/officeDocument/2006/relationships/hyperlink" Id="rId101"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77" Target="https://doi.org/10.1111/1365-2745.14069" TargetMode="External" /><Relationship Type="http://schemas.openxmlformats.org/officeDocument/2006/relationships/hyperlink" Id="rId82" Target="https://doi.org/10.1111/btp.13270"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3" Target="https://doi.org/10.1111/gcb.15982" TargetMode="External" /><Relationship Type="http://schemas.openxmlformats.org/officeDocument/2006/relationships/hyperlink" Id="rId87" Target="https://doi.org/10.1111/gcb.16466" TargetMode="External" /><Relationship Type="http://schemas.openxmlformats.org/officeDocument/2006/relationships/hyperlink" Id="rId73" Target="https://doi.org/10.1111/j.1365-2486.2009.02004.x" TargetMode="External" /><Relationship Type="http://schemas.openxmlformats.org/officeDocument/2006/relationships/hyperlink" Id="rId84" Target="https://doi.org/10.1111/nph.16996" TargetMode="External" /><Relationship Type="http://schemas.openxmlformats.org/officeDocument/2006/relationships/hyperlink" Id="rId79" Target="https://doi.org/10.1111/nph.17187" TargetMode="External" /><Relationship Type="http://schemas.openxmlformats.org/officeDocument/2006/relationships/hyperlink" Id="rId69" Target="https://doi.org/10.1111/nph.17464" TargetMode="External" /><Relationship Type="http://schemas.openxmlformats.org/officeDocument/2006/relationships/hyperlink" Id="rId94" Target="https://doi.org/10.1111/nph.18539" TargetMode="External" /><Relationship Type="http://schemas.openxmlformats.org/officeDocument/2006/relationships/hyperlink" Id="rId9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2025-03-26T20:42:29Z</dcterms:created>
  <dcterms:modified xsi:type="dcterms:W3CDTF">2025-03-26T20:42:29Z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