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144</w:t>
      </w:r>
      <w:r>
        <w:br/>
      </w:r>
      <w:r>
        <w:rPr>
          <w:bCs/>
          <w:b/>
        </w:rPr>
        <w:t xml:space="preserve">Number of Words in Main Text:</w:t>
      </w:r>
      <w:r>
        <w:t xml:space="preserve"> </w:t>
      </w:r>
      <w:r>
        <w:t xml:space="preserve">5019</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 with important implications for this critical carbon sink.</w:t>
      </w:r>
      <w:r>
        <w:t xml:space="preserve"> </w:t>
      </w:r>
      <w:r>
        <w:t xml:space="preserve">Tree species adaptations to hot and dry conditions – e.g., dry-season deciduousness in tropical seasonal forests – can confer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tree size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w:t>
      </w:r>
      <w:r>
        <w:t xml:space="preserve"> </w:t>
      </w:r>
      <w:r>
        <w:t xml:space="preserve"> </w:t>
      </w:r>
      <w:r>
        <w:t xml:space="preserve">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and evergreen species exhibit differential sensitivity depending on the timing of drought and topographic location,</w:t>
      </w:r>
      <w:r>
        <w:t xml:space="preserve"> </w:t>
      </w:r>
      <w:r>
        <w:t xml:space="preserve">iii) the influences of topographic location, crown exposure, and other size effects on individual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Supporting prediction</w:t>
      </w:r>
      <w:r>
        <w:t xml:space="preserve"> </w:t>
      </w:r>
      <w:r>
        <w:rPr>
          <w:iCs/>
          <w:i/>
        </w:rPr>
        <w:t xml:space="preserve">i</w:t>
      </w:r>
      <w:r>
        <w:t xml:space="preserve">, 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Supporting prediction</w:t>
      </w:r>
      <w:r>
        <w:t xml:space="preserve"> </w:t>
      </w:r>
      <w:r>
        <w:rPr>
          <w:iCs/>
          <w:i/>
        </w:rPr>
        <w:t xml:space="preserve">ii</w:t>
      </w:r>
      <w:r>
        <w:t xml:space="preserve">, 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Supporting prediction</w:t>
      </w:r>
      <w:r>
        <w:t xml:space="preserve"> </w:t>
      </w:r>
      <w:r>
        <w:rPr>
          <w:iCs/>
          <w:i/>
        </w:rPr>
        <w:t xml:space="preserve">i</w:t>
      </w:r>
      <w:r>
        <w:t xml:space="preserve">, individual trees did not respond similarly to the three drought events (Fig S6).</w:t>
      </w:r>
    </w:p>
    <w:p>
      <w:pPr>
        <w:pStyle w:val="BodyText"/>
      </w:pPr>
      <w:r>
        <w:t xml:space="preserve">Supporting prediction</w:t>
      </w:r>
      <w:r>
        <w:t xml:space="preserve"> </w:t>
      </w:r>
      <w:r>
        <w:rPr>
          <w:iCs/>
          <w:i/>
        </w:rPr>
        <w:t xml:space="preserve">iii</w:t>
      </w:r>
      <w:r>
        <w:t xml:space="preserve">, TWI had different effects across droughts.</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Supporting prediction</w:t>
      </w:r>
      <w:r>
        <w:t xml:space="preserve"> </w:t>
      </w:r>
      <w:r>
        <w:rPr>
          <w:iCs/>
          <w:i/>
        </w:rPr>
        <w:t xml:space="preserve">iii</w:t>
      </w:r>
      <w:r>
        <w:t xml:space="preserve">, …</w:t>
      </w:r>
      <w:r>
        <w:t xml:space="preserve"> </w:t>
      </w: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2025-06-26T21:14:35Z</dcterms:created>
  <dcterms:modified xsi:type="dcterms:W3CDTF">2025-06-26T21:14:35Z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