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SCBI</w:t>
      </w:r>
      <w:r>
        <w:br/>
      </w:r>
      <w:r>
        <w:rPr>
          <w:vertAlign w:val="superscript"/>
        </w:rPr>
        <w:t xml:space="preserve">2</w:t>
      </w:r>
      <w:r>
        <w:t xml:space="preserve">SERC</w:t>
      </w:r>
      <w:r>
        <w:br/>
      </w:r>
      <w:r>
        <w:rPr>
          <w:vertAlign w:val="superscript"/>
        </w:rPr>
        <w:t xml:space="preserve">3</w:t>
      </w:r>
      <w:r>
        <w:t xml:space="preserve">STRI</w:t>
      </w:r>
      <w:r>
        <w:br/>
      </w:r>
      <w:r>
        <w:rPr>
          <w:vertAlign w:val="superscript"/>
        </w:rPr>
        <w:t xml:space="preserve">4</w:t>
      </w:r>
      <w:r>
        <w:t xml:space="preserve">National Park, Wildlife and Plant Conservation Department, Thailand</w:t>
      </w:r>
      <w:r>
        <w:br/>
      </w:r>
      <w:r>
        <w:rPr>
          <w:vertAlign w:val="superscript"/>
        </w:rPr>
        <w:t xml:space="preserve">5</w:t>
      </w:r>
      <w:r>
        <w:t xml:space="preserve">Kasetsart University,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tropical forests, altering tree demography and its contribution to the land carbon sink.</w:t>
      </w:r>
      <w:r>
        <w:t xml:space="preserve"> </w:t>
      </w:r>
      <w:r>
        <w:t xml:space="preserve">In seasonally dry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and offsets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the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We know that drought characteristics [], species traits, and microenvironment</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w:t>
      </w:r>
      <w:r>
        <w:t xml:space="preserve">all affect tree growth responses.</w:t>
      </w:r>
      <w:r>
        <w:t xml:space="preserve"> </w:t>
      </w:r>
      <w:r>
        <w:t xml:space="preserve">However, we know little about their combined effects or potential interactions, which could fundamentally alter our understanding of forest responses to drought.</w:t>
      </w:r>
      <w:r>
        <w:t xml:space="preserve"> </w:t>
      </w:r>
      <w:r>
        <w:t xml:space="preserve"> </w:t>
      </w:r>
      <w:r>
        <w:t xml:space="preserve">Specifically, if drought tolerance is influenced independently by drought characteristics, species traits, and microenvironment, tree drought responses may be conserved, and therefore linearly predictable; for example, a species with low sensitivity to past droughts would be among the least sensitive species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more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and anomalous hot, dry conditions beyond the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This spectrum of species strategies in seasonally dry forests for demographic stability under hot dry seasons might have distinct consequences for sensitivity, based on drought characteristics.</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 leading to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suffer more growth declines during drought</w:t>
      </w:r>
      <w:r>
        <w:t xml:space="preserve"> </w:t>
      </w:r>
      <w:r>
        <w:t xml:space="preserve">(Bennett</w:t>
      </w:r>
      <w:r>
        <w:t xml:space="preserve"> </w:t>
      </w:r>
      <w:r>
        <w:rPr>
          <w:iCs/>
          <w:i/>
        </w:rPr>
        <w:t xml:space="preserve">et al.</w:t>
      </w:r>
      <w:r>
        <w:t xml:space="preserve"> </w:t>
      </w:r>
      <w:r>
        <w:t xml:space="preserve">2015)</w:t>
      </w:r>
      <w:r>
        <w:t xml:space="preserve">; larger trees have more exposed crowns although crown exposure can allow access to light and increase growth in normal years.</w:t>
      </w:r>
      <w:r>
        <w:t xml:space="preserve"> </w:t>
      </w:r>
      <w:r>
        <w:t xml:space="preserve">To some extent trees with belowground investment in larger and deeper root systems, or are in wetter locations have lower growth declines during drought because of continued access to water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Finally, distribution of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t xml:space="preserve"> </w:t>
      </w:r>
      <w:r>
        <w:t xml:space="preserve"> </w:t>
      </w:r>
      <w:r>
        <w:t xml:space="preserve">Drought characteristics may positively or negatively interfere with these evolutionary and physiological strategies, leading to consistent or heterogenous sensitivities across drought events.</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1"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1"/>
    <w:bookmarkStart w:id="50" w:name="Xb9944c928b83625317fe6461aca7674f27e4e2c"/>
    <w:p>
      <w:pPr>
        <w:pStyle w:val="Heading2"/>
      </w:pPr>
      <w:r>
        <w:t xml:space="preserve">Microenvironment effects drought sensitivity</w:t>
      </w:r>
    </w:p>
    <w:p>
      <w:pPr>
        <w:pStyle w:val="FirstParagraph"/>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3" name="Picture"/>
            <a:graphic>
              <a:graphicData uri="http://schemas.openxmlformats.org/drawingml/2006/picture">
                <pic:pic>
                  <pic:nvPicPr>
                    <pic:cNvPr descr="display/Fig4.png" id="44" name="Picture"/>
                    <pic:cNvPicPr>
                      <a:picLocks noChangeArrowheads="1" noChangeAspect="1"/>
                    </pic:cNvPicPr>
                  </pic:nvPicPr>
                  <pic:blipFill>
                    <a:blip r:embed="rId4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5">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br/>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w:t>
      </w:r>
      <w:r>
        <w:br/>
      </w:r>
      <w:r>
        <w:t xml:space="preserve">Interestingly, in the wet-season drought, we also show that evergreen and deciduous species had divergent responses along a wetness gradient; evergreen trees fared better and deciduous species suffered worse declines in wetter sites.</w:t>
      </w:r>
      <w:r>
        <w:br/>
      </w:r>
      <w:r>
        <w:t xml:space="preserve">Further, besides consistent negative effects of crown exposure, we found that the drivers of variation among species and individuals in drought sensitivity were dissimilar between the drought events.</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w:t>
      </w:r>
      <w:r>
        <w:br/>
      </w:r>
      <w:r>
        <w:t xml:space="preserve">Taken together, our analysis of tree growth in two different drought years, and spanning meaningful variation, shows that species and individuals can respond differently to different drought events.</w:t>
      </w:r>
      <w:r>
        <w:br/>
      </w:r>
      <w:r>
        <w:t xml:space="preserve">Despite stand-level growth declines in drought years, we show that these broad patterns mask enormous heterogeneity in individual and species responses to drought in tropical forests with possible consequences for the maintenance of species diveristy and ecosystem stability.</w:t>
      </w:r>
    </w:p>
    <w:p>
      <w:pPr>
        <w:pStyle w:val="BodyText"/>
      </w:pPr>
      <w:r>
        <w:t xml:space="preserve">Although our analysis spans representative spatial and ecological variation, we are limited in quantitatively analysing differences among droughts and variation in drought characteristics, because of low sample size.</w:t>
      </w:r>
      <w:r>
        <w:br/>
      </w:r>
      <w:r>
        <w:t xml:space="preserve">- Our analysis spans ecological and spatial/environmental variation realistic to tropical trees, and beyond previous such analyses.</w:t>
      </w:r>
      <w:r>
        <w:t xml:space="preserve"> </w:t>
      </w:r>
      <w:r>
        <w:t xml:space="preserve">- But given the relative shorter duration of the timeseries, the effort required to collect these data, and the unpredictability of drought events, our analysis only included two specific droughts.</w:t>
      </w:r>
      <w:r>
        <w:t xml:space="preserve"> </w:t>
      </w:r>
      <w:r>
        <w:t xml:space="preserve">- Thus, quantitative analyses parsing out the specific effects of drought characteristics like relative influence of timing and degree of anomaly is currently impossible, limiting interpretations.</w:t>
      </w:r>
      <w:r>
        <w:br/>
      </w:r>
      <w:r>
        <w:t xml:space="preserve">- However, as the record continues to grow, so does the potential to answer these questions.</w:t>
      </w:r>
    </w:p>
    <w:p>
      <w:pPr>
        <w:pStyle w:val="BodyText"/>
      </w:pPr>
      <w:r>
        <w:t xml:space="preserve">Tropical dry forests also represent periodic hot/dry conditions, leading to adaptations or other genetic variation for resistance, but this might not hold in other bioclimatic zones where ecological variability is different.</w:t>
      </w:r>
      <w:r>
        <w:br/>
      </w:r>
      <w:r>
        <w:t xml:space="preserve">- Trait variation across forest and bioclimatic types</w:t>
      </w:r>
      <w:r>
        <w:t xml:space="preserve"> </w:t>
      </w:r>
      <w:r>
        <w:t xml:space="preserve">- Careful interpretation across forest types with different adaptive pressures.</w:t>
      </w:r>
      <w:r>
        <w:br/>
      </w:r>
      <w:r>
        <w:t xml:space="preserve">- However, some generalisation is possible because despite low seasonality in climatic conditions, everwet forest species also show seasonal growth patterns.</w:t>
      </w:r>
    </w:p>
    <w:p>
      <w:pPr>
        <w:pStyle w:val="BodyText"/>
      </w:pPr>
      <w:r>
        <w:t xml:space="preserve">Despite consistent growth declines at the plot level across drought events, we show that this scale obscures a variety of ecological responses at the species and tree level that are heterogeneous across drought events.</w:t>
      </w:r>
      <w:r>
        <w:br/>
      </w:r>
      <w:r>
        <w:t xml:space="preserve">- 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 However, care must be taken in interpretation, as the 2015-16 ENSO was stronger.</w:t>
      </w:r>
      <w:r>
        <w:t xml:space="preserve"> </w:t>
      </w:r>
      <w:r>
        <w:t xml:space="preserve">- Influence of deciduousness was different in the two different droughts.</w:t>
      </w:r>
      <w:r>
        <w:t xml:space="preserve"> </w:t>
      </w:r>
      <w:r>
        <w:t xml:space="preserve">-</w:t>
      </w:r>
      <w:r>
        <w:t xml:space="preserve"> </w:t>
      </w:r>
      <w:r>
        <w:rPr>
          <w:iCs/>
          <w:i/>
        </w:rPr>
        <w:t xml:space="preserve">Afzelia xylocarpa</w:t>
      </w:r>
      <w:r>
        <w:t xml:space="preserve">, one of the tree ring species had the most distinct (positive) sensitivity in the dry season drought, but a large negative sensitivity in the wet season drought - one of the most distinct responses.</w:t>
      </w:r>
      <w:r>
        <w:br/>
      </w:r>
      <w:r>
        <w:t xml:space="preserve">- More generally, tree ring and census estimates of drought sensitivity in seasonally dry tropical forests may be biased towards fast growing (measurable using tape) or dry-associated species (that form annual tree rings) - which might have been capturing only the more dramatic effects.</w:t>
      </w:r>
      <w:r>
        <w:t xml:space="preserve"> </w:t>
      </w:r>
      <w:r>
        <w:t xml:space="preserve">- Distinct responses of species and individuals to drought characteristics suggests potential spatiotemporal insurance effects among tropical tree response to drought.</w:t>
      </w:r>
    </w:p>
    <w:p>
      <w:pPr>
        <w:pStyle w:val="BodyText"/>
      </w:pPr>
      <w:r>
        <w:t xml:space="preserve">Drought sensitivity is often defined as a static species trait but we show dimensions beyond that with possible consequences for management and restoration</w:t>
      </w:r>
      <w:r>
        <w:t xml:space="preserve"> </w:t>
      </w:r>
      <w:r>
        <w:t xml:space="preserve">- Although net decrease at the plot level (agreement with landscape-scale in</w:t>
      </w:r>
      <w:r>
        <w:t xml:space="preserve"> </w:t>
      </w:r>
      <w:r>
        <w:t xml:space="preserve">(</w:t>
      </w:r>
      <w:r>
        <w:rPr>
          <w:bCs/>
          <w:b/>
        </w:rPr>
        <w:t xml:space="preserve">aguirre-guiterrez?</w:t>
      </w:r>
      <w:r>
        <w:t xml:space="preserve">)</w:t>
      </w:r>
      <w:r>
        <w:t xml:space="preserve">), we show evidence that the same strategies are not uniformly successfully across spatiotemporal climatic variation.</w:t>
      </w:r>
      <w:r>
        <w:br/>
      </w:r>
      <w:r>
        <w:t xml:space="preserve">- Frameworks that include ecological complexity and covarying traits with environment like</w:t>
      </w:r>
      <w:r>
        <w:t xml:space="preserve"> </w:t>
      </w:r>
      <w:r>
        <w:t xml:space="preserve">Trugman</w:t>
      </w:r>
      <w:r>
        <w:t xml:space="preserve"> </w:t>
      </w:r>
      <w:r>
        <w:rPr>
          <w:iCs/>
          <w:i/>
        </w:rPr>
        <w:t xml:space="preserve">et al.</w:t>
      </w:r>
      <w:r>
        <w:t xml:space="preserve"> </w:t>
      </w:r>
      <w:r>
        <w:t xml:space="preserve">(2021)</w:t>
      </w:r>
      <w:r>
        <w:t xml:space="preserve"> </w:t>
      </w:r>
      <w:r>
        <w:t xml:space="preserve">also assume individual trees to have consistent sensitivity across events, but our results demonstrate temporal dimensions of variation, at least partially attributable to drought characteristics.</w:t>
      </w:r>
      <w:r>
        <w:br/>
      </w:r>
      <w:r>
        <w:t xml:space="preserve">- Our results indicate that drought responses in tropical trees may not be a fixed response across events, but jointly shaped by…</w:t>
      </w:r>
      <w:r>
        <w:t xml:space="preserve"> </w:t>
      </w:r>
      <w:r>
        <w:t xml:space="preserve">- Given these inconsistencies, diverse stands that may represent greater variation in ecological and evolutionary strategies, may have mechanisms for stable functioning under future droughts.</w:t>
      </w:r>
    </w:p>
    <w:p>
      <w:pPr>
        <w:numPr>
          <w:ilvl w:val="0"/>
          <w:numId w:val="1001"/>
        </w:numPr>
        <w:pStyle w:val="Compact"/>
      </w:pPr>
      <w:r>
        <w:t xml:space="preserve">(BCI light x size interaction in</w:t>
      </w:r>
      <w:r>
        <w:t xml:space="preserve"> </w:t>
      </w:r>
      <w:r>
        <w:t xml:space="preserve">Rüger</w:t>
      </w:r>
      <w:r>
        <w:t xml:space="preserve"> </w:t>
      </w:r>
      <w:r>
        <w:rPr>
          <w:iCs/>
          <w:i/>
        </w:rPr>
        <w:t xml:space="preserve">et al.</w:t>
      </w:r>
      <w:r>
        <w:t xml:space="preserve"> </w:t>
      </w:r>
      <w:r>
        <w:t xml:space="preserve">(2011)</w:t>
      </w:r>
      <w:r>
        <w:t xml:space="preserve">)</w:t>
      </w:r>
    </w:p>
    <w:bookmarkEnd w:id="52"/>
    <w:bookmarkStart w:id="53"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3"/>
    <w:bookmarkStart w:id="54" w:name="competing-interests"/>
    <w:p>
      <w:pPr>
        <w:pStyle w:val="Heading1"/>
      </w:pPr>
      <w:r>
        <w:t xml:space="preserve">Competing interests</w:t>
      </w:r>
    </w:p>
    <w:bookmarkEnd w:id="54"/>
    <w:bookmarkStart w:id="55" w:name="author-contributions"/>
    <w:p>
      <w:pPr>
        <w:pStyle w:val="Heading1"/>
      </w:pPr>
      <w:r>
        <w:t xml:space="preserve">Author contributions</w:t>
      </w:r>
    </w:p>
    <w:bookmarkEnd w:id="55"/>
    <w:bookmarkStart w:id="56" w:name="data-availability"/>
    <w:p>
      <w:pPr>
        <w:pStyle w:val="Heading1"/>
      </w:pPr>
      <w:r>
        <w:t xml:space="preserve">Data availability</w:t>
      </w:r>
    </w:p>
    <w:p>
      <w:r>
        <w:br w:type="page"/>
      </w:r>
    </w:p>
    <w:bookmarkEnd w:id="56"/>
    <w:bookmarkStart w:id="128" w:name="references"/>
    <w:p>
      <w:pPr>
        <w:pStyle w:val="Heading1"/>
      </w:pPr>
      <w:r>
        <w:t xml:space="preserve">References</w:t>
      </w:r>
    </w:p>
    <w:bookmarkStart w:id="127" w:name="refs"/>
    <w:bookmarkStart w:id="58"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7">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8"/>
    <w:bookmarkStart w:id="60"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9">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3">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4"/>
    <w:bookmarkStart w:id="66" w:name="ref-anderson-teixeira_carbon_2016"/>
    <w:p>
      <w:pPr>
        <w:pStyle w:val="Bibliography"/>
      </w:pPr>
      <w:r>
        <w:t xml:space="preserve">Anderson-Teixeira, K.J., Wang, M.M.H., McGarvey, J.C. &amp; LeBauer, D.S. (2016).</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6"/>
    <w:bookmarkStart w:id="68"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7">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8"/>
    <w:bookmarkStart w:id="70"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69">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0"/>
    <w:bookmarkStart w:id="72" w:name="ref-bennett_larger_2015"/>
    <w:p>
      <w:pPr>
        <w:pStyle w:val="Bibliography"/>
      </w:pPr>
      <w:r>
        <w:t xml:space="preserve">Bennett, A.C., McDowell, N.G., Allen, C.D. &amp; Anderson-Teixeira, K.J. (2015).</w:t>
      </w:r>
      <w:r>
        <w:t xml:space="preserve"> </w:t>
      </w:r>
      <w:hyperlink r:id="rId71">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2"/>
    <w:bookmarkStart w:id="74"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3">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4"/>
    <w:bookmarkStart w:id="76"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5">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6"/>
    <w:bookmarkStart w:id="78" w:name="ref-bürkner_brms_2017"/>
    <w:p>
      <w:pPr>
        <w:pStyle w:val="Bibliography"/>
      </w:pPr>
      <w:r>
        <w:t xml:space="preserve">Bürkner, P.-C. (2017).</w:t>
      </w:r>
      <w:r>
        <w:t xml:space="preserve"> </w:t>
      </w:r>
      <w:hyperlink r:id="rId77">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8"/>
    <w:bookmarkStart w:id="79"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9"/>
    <w:bookmarkStart w:id="81" w:name="ref-chitra-tarak_it_2015"/>
    <w:p>
      <w:pPr>
        <w:pStyle w:val="Bibliography"/>
      </w:pPr>
      <w:r>
        <w:t xml:space="preserve">Chitra-Tarak, R., Ruiz, L., Pulla, S., Dattaraja, H.S., Suresh, H.S. &amp; Sukumar, R. (2015).</w:t>
      </w:r>
      <w:r>
        <w:t xml:space="preserve"> </w:t>
      </w:r>
      <w:hyperlink r:id="rId80">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1"/>
    <w:bookmarkStart w:id="83"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2">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3"/>
    <w:bookmarkStart w:id="85" w:name="ref-clark_annual_2021"/>
    <w:p>
      <w:pPr>
        <w:pStyle w:val="Bibliography"/>
      </w:pPr>
      <w:r>
        <w:t xml:space="preserve">Clark, D.A., Clark, D.B. &amp; Oberbauer, S.F. (2021).</w:t>
      </w:r>
      <w:r>
        <w:t xml:space="preserve"> </w:t>
      </w:r>
      <w:hyperlink r:id="rId84">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5"/>
    <w:bookmarkStart w:id="87" w:name="ref-clark_annual_2010"/>
    <w:p>
      <w:pPr>
        <w:pStyle w:val="Bibliography"/>
      </w:pPr>
      <w:r>
        <w:t xml:space="preserve">Clark, D.B., Clark, D.A. &amp; Oberbauer, S.F. (2010).</w:t>
      </w:r>
      <w:r>
        <w:t xml:space="preserve"> </w:t>
      </w:r>
      <w:hyperlink r:id="rId86">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7"/>
    <w:bookmarkStart w:id="89" w:name="ref-dahinden_future_2017"/>
    <w:p>
      <w:pPr>
        <w:pStyle w:val="Bibliography"/>
      </w:pPr>
      <w:r>
        <w:t xml:space="preserve">Dahinden, F., Fischer, E.M. &amp; Knutti, R. (2017).</w:t>
      </w:r>
      <w:r>
        <w:t xml:space="preserve"> </w:t>
      </w:r>
      <w:hyperlink r:id="rId8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9"/>
    <w:bookmarkStart w:id="91" w:name="ref-desouza_drought_2020"/>
    <w:p>
      <w:pPr>
        <w:pStyle w:val="Bibliography"/>
      </w:pPr>
      <w:r>
        <w:t xml:space="preserve">De Souza, B.C., Carvalho, E.C.D., Oliveira, R.S., De Araujo, F.S., De Lima, A.L.A. &amp; Rodal, M.J.N. (2020).</w:t>
      </w:r>
      <w:r>
        <w:t xml:space="preserve"> </w:t>
      </w:r>
      <w:hyperlink r:id="rId9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1"/>
    <w:bookmarkStart w:id="93" w:name="ref-garcía-cervigón_climate_2020"/>
    <w:p>
      <w:pPr>
        <w:pStyle w:val="Bibliography"/>
      </w:pPr>
      <w:r>
        <w:t xml:space="preserve">García-Cervigón, A.I., Camarero, J.J., Cueva, E., Espinosa, C.I. &amp; Escudero, A. (2020).</w:t>
      </w:r>
      <w:r>
        <w:t xml:space="preserve"> </w:t>
      </w:r>
      <w:hyperlink r:id="rId9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3"/>
    <w:bookmarkStart w:id="95"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4">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5"/>
    <w:bookmarkStart w:id="97" w:name="X608d8d4a570d30e5ebf1004023d829f5ff2ec75"/>
    <w:p>
      <w:pPr>
        <w:pStyle w:val="Bibliography"/>
      </w:pPr>
      <w:r>
        <w:t xml:space="preserve">Intergovernmental Panel On Climate Change (Ipcc). (2023).</w:t>
      </w:r>
      <w:r>
        <w:t xml:space="preserve"> </w:t>
      </w:r>
      <w:hyperlink r:id="rId96">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7"/>
    <w:bookmarkStart w:id="99"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8">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9"/>
    <w:bookmarkStart w:id="100"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0"/>
    <w:bookmarkStart w:id="102" w:name="ref-luo_tropical_2022"/>
    <w:p>
      <w:pPr>
        <w:pStyle w:val="Bibliography"/>
      </w:pPr>
      <w:r>
        <w:t xml:space="preserve">Luo, X. &amp; Keenan, T.F. (2022).</w:t>
      </w:r>
      <w:r>
        <w:t xml:space="preserve"> </w:t>
      </w:r>
      <w:hyperlink r:id="rId101">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2"/>
    <w:bookmarkStart w:id="104"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3">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4"/>
    <w:bookmarkStart w:id="105" w:name="ref-muller-landau_metal_2008"/>
    <w:p>
      <w:pPr>
        <w:pStyle w:val="Bibliography"/>
      </w:pPr>
      <w:r>
        <w:t xml:space="preserve">Muller-Landau, H.C. (2008). Metal</w:t>
      </w:r>
      <w:r>
        <w:t xml:space="preserve"> </w:t>
      </w:r>
      <w:r>
        <w:t xml:space="preserve">Band Dendrometer Protocol</w:t>
      </w:r>
      <w:r>
        <w:t xml:space="preserve">.</w:t>
      </w:r>
    </w:p>
    <w:bookmarkEnd w:id="105"/>
    <w:bookmarkStart w:id="106"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6"/>
    <w:bookmarkStart w:id="108" w:name="ref-rüger_growth_2011"/>
    <w:p>
      <w:pPr>
        <w:pStyle w:val="Bibliography"/>
      </w:pPr>
      <w:r>
        <w:t xml:space="preserve">Rüger, N., Berger, U., Hubbell, S.P., Vieilledent, G. &amp; Condit, R. (2011).</w:t>
      </w:r>
      <w:r>
        <w:t xml:space="preserve"> </w:t>
      </w:r>
      <w:hyperlink r:id="rId107">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w:t>
      </w:r>
      <w:r>
        <w:t xml:space="preserve"> </w:t>
      </w:r>
      <w:r>
        <w:rPr>
          <w:iCs/>
          <w:i/>
        </w:rPr>
        <w:t xml:space="preserve">PLoS ONE</w:t>
      </w:r>
      <w:r>
        <w:t xml:space="preserve">, 6, e25330.</w:t>
      </w:r>
    </w:p>
    <w:bookmarkEnd w:id="108"/>
    <w:bookmarkStart w:id="110"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09">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0"/>
    <w:bookmarkStart w:id="112" w:name="ref-trugman_why_2021"/>
    <w:p>
      <w:pPr>
        <w:pStyle w:val="Bibliography"/>
      </w:pPr>
      <w:r>
        <w:t xml:space="preserve">Trugman, A.T., Anderegg, L.D.L., Anderegg, W.R.L., Das, A.J. &amp; Stephenson, N.L. (2021).</w:t>
      </w:r>
      <w:r>
        <w:t xml:space="preserve"> </w:t>
      </w:r>
      <w:hyperlink r:id="rId111">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2"/>
    <w:bookmarkStart w:id="113"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3"/>
    <w:bookmarkStart w:id="115" w:name="ref-vicente-serrano_multiscalar_2010"/>
    <w:p>
      <w:pPr>
        <w:pStyle w:val="Bibliography"/>
      </w:pPr>
      <w:r>
        <w:t xml:space="preserve">Vicente-Serrano, S.M., Beguería, S. &amp; López-Moreno, J.I. (2010).</w:t>
      </w:r>
      <w:r>
        <w:t xml:space="preserve"> </w:t>
      </w:r>
      <w:hyperlink r:id="rId114">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15"/>
    <w:bookmarkStart w:id="117"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1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17"/>
    <w:bookmarkStart w:id="119" w:name="ref-vlam_temperature_2014"/>
    <w:p>
      <w:pPr>
        <w:pStyle w:val="Bibliography"/>
      </w:pPr>
      <w:r>
        <w:t xml:space="preserve">Vlam, M., Baker, P.J., Bunyavejchewin, S. &amp; Zuidema, P.A. (2014).</w:t>
      </w:r>
      <w:r>
        <w:t xml:space="preserve"> </w:t>
      </w:r>
      <w:hyperlink r:id="rId11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19"/>
    <w:bookmarkStart w:id="121" w:name="ref-williams_deciduousness_2008"/>
    <w:p>
      <w:pPr>
        <w:pStyle w:val="Bibliography"/>
      </w:pPr>
      <w:r>
        <w:t xml:space="preserve">Williams, L.J., Bunyavejchewin, S. &amp; Baker, P.J. (2008).</w:t>
      </w:r>
      <w:r>
        <w:t xml:space="preserve"> </w:t>
      </w:r>
      <w:hyperlink r:id="rId12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1"/>
    <w:bookmarkStart w:id="122"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2"/>
    <w:bookmarkStart w:id="124"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23">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24"/>
    <w:bookmarkStart w:id="126" w:name="ref-zweifel_are_2016"/>
    <w:p>
      <w:pPr>
        <w:pStyle w:val="Bibliography"/>
      </w:pPr>
      <w:r>
        <w:t xml:space="preserve">Zweifel, R., Haeni, M., Buchmann, N. &amp; Eugster, W. (2016).</w:t>
      </w:r>
      <w:r>
        <w:t xml:space="preserve"> </w:t>
      </w:r>
      <w:hyperlink r:id="rId125">
        <w:r>
          <w:rPr>
            <w:rStyle w:val="Hyperlink"/>
          </w:rPr>
          <w:t xml:space="preserve">Are trees able to grow in periods of stem shrinkage?</w:t>
        </w:r>
      </w:hyperlink>
      <w:r>
        <w:t xml:space="preserve"> </w:t>
      </w:r>
      <w:r>
        <w:rPr>
          <w:iCs/>
          <w:i/>
        </w:rPr>
        <w:t xml:space="preserve">New Phytologist</w:t>
      </w:r>
      <w:r>
        <w:t xml:space="preserve">, 211, 839–849.</w:t>
      </w:r>
    </w:p>
    <w:bookmarkEnd w:id="126"/>
    <w:bookmarkEnd w:id="127"/>
    <w:bookmarkEnd w:id="12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120" Target="https://doi.org/10.1007/s00442-007-0938-1" TargetMode="External" /><Relationship Type="http://schemas.openxmlformats.org/officeDocument/2006/relationships/hyperlink" Id="rId118"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1" Target="https://doi.org/10.1016/j.tree.2021.02.001" TargetMode="External" /><Relationship Type="http://schemas.openxmlformats.org/officeDocument/2006/relationships/hyperlink" Id="rId96"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1"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123" Target="https://doi.org/10.1038/s41561-022-00911-8" TargetMode="External" /><Relationship Type="http://schemas.openxmlformats.org/officeDocument/2006/relationships/hyperlink" Id="rId59" Target="https://doi.org/10.1088/1748-9326/aa5968"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57" Target="https://doi.org/10.1111/ele.13243" TargetMode="External" /><Relationship Type="http://schemas.openxmlformats.org/officeDocument/2006/relationships/hyperlink" Id="rId94"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09"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86" Target="https://doi.org/10.1111/j.1365-2486.2009.02004.x" TargetMode="External" /><Relationship Type="http://schemas.openxmlformats.org/officeDocument/2006/relationships/hyperlink" Id="rId92" Target="https://doi.org/10.1111/jvs.12840" TargetMode="External" /><Relationship Type="http://schemas.openxmlformats.org/officeDocument/2006/relationships/hyperlink" Id="rId125" Target="https://doi.org/10.1111/nph.13995" TargetMode="External" /><Relationship Type="http://schemas.openxmlformats.org/officeDocument/2006/relationships/hyperlink" Id="rId103" Target="https://doi.org/10.1111/nph.16996" TargetMode="External" /><Relationship Type="http://schemas.openxmlformats.org/officeDocument/2006/relationships/hyperlink" Id="rId98" Target="https://doi.org/10.1111/nph.17187" TargetMode="External" /><Relationship Type="http://schemas.openxmlformats.org/officeDocument/2006/relationships/hyperlink" Id="rId82" Target="https://doi.org/10.1111/nph.17464" TargetMode="External" /><Relationship Type="http://schemas.openxmlformats.org/officeDocument/2006/relationships/hyperlink" Id="rId116"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14" Target="https://doi.org/10.1175/2009JCLI2909.1" TargetMode="External" /><Relationship Type="http://schemas.openxmlformats.org/officeDocument/2006/relationships/hyperlink" Id="rId107" Target="https://doi.org/10.1371/journal.pone.0025330" TargetMode="External" /><Relationship Type="http://schemas.openxmlformats.org/officeDocument/2006/relationships/hyperlink" Id="rId77"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20" Target="https://doi.org/10.1007/s00442-007-0938-1" TargetMode="External" /><Relationship Type="http://schemas.openxmlformats.org/officeDocument/2006/relationships/hyperlink" Id="rId118"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1" Target="https://doi.org/10.1016/j.tree.2021.02.001" TargetMode="External" /><Relationship Type="http://schemas.openxmlformats.org/officeDocument/2006/relationships/hyperlink" Id="rId96"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1"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123" Target="https://doi.org/10.1038/s41561-022-00911-8" TargetMode="External" /><Relationship Type="http://schemas.openxmlformats.org/officeDocument/2006/relationships/hyperlink" Id="rId59" Target="https://doi.org/10.1088/1748-9326/aa5968"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57" Target="https://doi.org/10.1111/ele.13243" TargetMode="External" /><Relationship Type="http://schemas.openxmlformats.org/officeDocument/2006/relationships/hyperlink" Id="rId94"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09"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86" Target="https://doi.org/10.1111/j.1365-2486.2009.02004.x" TargetMode="External" /><Relationship Type="http://schemas.openxmlformats.org/officeDocument/2006/relationships/hyperlink" Id="rId92" Target="https://doi.org/10.1111/jvs.12840" TargetMode="External" /><Relationship Type="http://schemas.openxmlformats.org/officeDocument/2006/relationships/hyperlink" Id="rId125" Target="https://doi.org/10.1111/nph.13995" TargetMode="External" /><Relationship Type="http://schemas.openxmlformats.org/officeDocument/2006/relationships/hyperlink" Id="rId103" Target="https://doi.org/10.1111/nph.16996" TargetMode="External" /><Relationship Type="http://schemas.openxmlformats.org/officeDocument/2006/relationships/hyperlink" Id="rId98" Target="https://doi.org/10.1111/nph.17187" TargetMode="External" /><Relationship Type="http://schemas.openxmlformats.org/officeDocument/2006/relationships/hyperlink" Id="rId82" Target="https://doi.org/10.1111/nph.17464" TargetMode="External" /><Relationship Type="http://schemas.openxmlformats.org/officeDocument/2006/relationships/hyperlink" Id="rId116"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14" Target="https://doi.org/10.1175/2009JCLI2909.1" TargetMode="External" /><Relationship Type="http://schemas.openxmlformats.org/officeDocument/2006/relationships/hyperlink" Id="rId107" Target="https://doi.org/10.1371/journal.pone.0025330" TargetMode="External" /><Relationship Type="http://schemas.openxmlformats.org/officeDocument/2006/relationships/hyperlink" Id="rId77"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2025-04-01T19:16:13Z</dcterms:created>
  <dcterms:modified xsi:type="dcterms:W3CDTF">2025-04-01T19:16:13Z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