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30.png" ContentType="image/png"/>
  <Override PartName="/word/media/rId36.png" ContentType="image/png"/>
  <Override PartName="/word/media/rId41.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SCBI</w:t>
      </w:r>
      <w:r>
        <w:t xml:space="preserve"> </w:t>
      </w:r>
      <w:r>
        <w:rPr>
          <w:vertAlign w:val="superscript"/>
        </w:rPr>
        <w:t xml:space="preserve">2</w:t>
      </w:r>
      <w:r>
        <w:t xml:space="preserve">SERC</w:t>
      </w:r>
      <w:r>
        <w:t xml:space="preserve"> </w:t>
      </w:r>
      <w:r>
        <w:rPr>
          <w:vertAlign w:val="superscript"/>
        </w:rPr>
        <w:t xml:space="preserve">3</w:t>
      </w:r>
      <w:r>
        <w:t xml:space="preserve">STRI</w:t>
      </w:r>
      <w:r>
        <w:t xml:space="preserve"> </w:t>
      </w:r>
      <w:r>
        <w:rPr>
          <w:vertAlign w:val="superscript"/>
        </w:rPr>
        <w:t xml:space="preserve">4</w:t>
      </w:r>
      <w:r>
        <w:t xml:space="preserve">National Park, Wildlife and Plant Conservation Department, Thailand</w:t>
      </w:r>
      <w:r>
        <w:t xml:space="preserve"> </w:t>
      </w:r>
      <w:r>
        <w:rPr>
          <w:vertAlign w:val="superscript"/>
        </w:rPr>
        <w:t xml:space="preserve">5</w:t>
      </w:r>
      <w:r>
        <w:t xml:space="preserve">Kasetsart University,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br/>
      </w:r>
      <w:r>
        <w:rPr>
          <w:bCs/>
          <w:b/>
        </w:rPr>
        <w:t xml:space="preserve">Number of Words in Main Text:</w:t>
      </w:r>
      <w:r>
        <w:br/>
      </w:r>
      <w:r>
        <w:rPr>
          <w:bCs/>
          <w:b/>
        </w:rPr>
        <w:t xml:space="preserve">Number of References:</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p>
      <w:r>
        <w:br w:type="page"/>
      </w:r>
    </w:p>
    <w:bookmarkEnd w:id="23"/>
    <w:bookmarkStart w:id="24" w:name="abstract-150-words"/>
    <w:p>
      <w:pPr>
        <w:pStyle w:val="Heading1"/>
      </w:pPr>
      <w:r>
        <w:t xml:space="preserve">Abstract (150 words)</w:t>
      </w:r>
    </w:p>
    <w:p>
      <w:pPr>
        <w:pStyle w:val="FirstParagraph"/>
      </w:pPr>
      <w:r>
        <w:t xml:space="preserve">The frequency and intensity of droughts are increasing across tropical forests, altering tree demography and its contribution to the land carbon sink.</w:t>
      </w:r>
      <w:r>
        <w:t xml:space="preserve"> </w:t>
      </w:r>
      <w:r>
        <w:t xml:space="preserve">In seasonally dry forests, species adaptations to strong dry seasons might confer drought resistance, but this resistance may be variable with individual microenvironments and across drought events.</w:t>
      </w:r>
      <w:r>
        <w:t xml:space="preserve"> </w:t>
      </w:r>
      <w:r>
        <w:t xml:space="preserve">We analysed a unique data record - manual dendrometer band measurements over 15 years on 1820 trees across 30 species in a seasonally dry tropical forest in</w:t>
      </w:r>
      <w:r>
        <w:t xml:space="preserve"> </w:t>
      </w:r>
      <w:r>
        <w:t xml:space="preserve">Thailand,</w:t>
      </w:r>
      <w:r>
        <w:t xml:space="preserve"> </w:t>
      </w:r>
      <w:r>
        <w:t xml:space="preserve">to assess the drought sensitivity of tree growth in two climatically distinct droughts.</w:t>
      </w:r>
      <w:r>
        <w:t xml:space="preserve"> </w:t>
      </w:r>
      <w:r>
        <w:t xml:space="preserve">Species and individuals exhibited a wide range of drought sensitivities within a drought event, and inconsistent responses across these two droughts.</w:t>
      </w:r>
      <w:r>
        <w:t xml:space="preserve"> </w:t>
      </w:r>
      <w:r>
        <w:t xml:space="preserve">Deciduous species were more sensitive than evergreen species in the wet-season drought, and this difference was amplified in wetter microclimates.</w:t>
      </w:r>
      <w:r>
        <w:t xml:space="preserve"> </w:t>
      </w:r>
      <w:r>
        <w:t xml:space="preserve">Although exposed trees were more sensitive, access to water through larger size or topographic location buffered growth declines.</w:t>
      </w:r>
      <w:r>
        <w:t xml:space="preserve"> </w:t>
      </w:r>
      <w:r>
        <w:t xml:space="preserve">Heterogeneous responses of species and individuals to droughts indicate potential spatiotemporal insurance effects in diverse forests in the face of increased climate anomalies.</w:t>
      </w:r>
    </w:p>
    <w:p>
      <w:r>
        <w:br w:type="page"/>
      </w:r>
    </w:p>
    <w:bookmarkEnd w:id="24"/>
    <w:bookmarkStart w:id="25" w:name="introduction"/>
    <w:p>
      <w:pPr>
        <w:pStyle w:val="Heading1"/>
      </w:pPr>
      <w:r>
        <w:t xml:space="preserve">Introduction</w:t>
      </w:r>
    </w:p>
    <w:p>
      <w:pPr>
        <w:pStyle w:val="FirstParagraph"/>
      </w:pPr>
      <w:r>
        <w:t xml:space="preserve">In forests worldwide, intense drought is becoming more frequent, affecting forest demography, diversity, and C cycling</w:t>
      </w:r>
      <w:r>
        <w:t xml:space="preserve"> </w:t>
      </w:r>
      <w:r>
        <w:t xml:space="preserve">(Intergovernmental Panel On Climate Change (Ipcc) 2023)</w:t>
      </w:r>
      <w:r>
        <w:t xml:space="preserve">.</w:t>
      </w:r>
      <w:r>
        <w:t xml:space="preserve"> </w:t>
      </w:r>
      <w:r>
        <w:t xml:space="preserve">Understanding these impacts is an important research priority, particularly for tropical forests, which</w:t>
      </w:r>
      <w:r>
        <w:t xml:space="preserve"> </w:t>
      </w:r>
      <w:r>
        <w:t xml:space="preserve"> </w:t>
      </w:r>
      <w:r>
        <w:t xml:space="preserve">are critical C sinks; tropical tree woody growth removes roughly 25 Gt CO</w:t>
      </w:r>
      <w:r>
        <w:rPr>
          <w:vertAlign w:val="subscript"/>
        </w:rPr>
        <w:t xml:space="preserve">2</w:t>
      </w:r>
      <w:r>
        <w:t xml:space="preserve"> </w:t>
      </w:r>
      <w:r>
        <w:t xml:space="preserve">and offsets ~20% of anthropogenic fossil fuel emissions</w:t>
      </w:r>
      <w:r>
        <w:t xml:space="preserve"> </w:t>
      </w:r>
      <w:r>
        <w:t xml:space="preserve">(Anderson-Teixeira</w:t>
      </w:r>
      <w:r>
        <w:t xml:space="preserve"> </w:t>
      </w:r>
      <w:r>
        <w:rPr>
          <w:iCs/>
          <w:i/>
        </w:rPr>
        <w:t xml:space="preserve">et al.</w:t>
      </w:r>
      <w:r>
        <w:t xml:space="preserve"> </w:t>
      </w:r>
      <w:r>
        <w:t xml:space="preserve">2016, 2021; Beer</w:t>
      </w:r>
      <w:r>
        <w:t xml:space="preserve"> </w:t>
      </w:r>
      <w:r>
        <w:rPr>
          <w:iCs/>
          <w:i/>
        </w:rPr>
        <w:t xml:space="preserve">et al.</w:t>
      </w:r>
      <w:r>
        <w:t xml:space="preserve"> </w:t>
      </w:r>
      <w:r>
        <w:t xml:space="preserve">2010; Brando</w:t>
      </w:r>
      <w:r>
        <w:t xml:space="preserve"> </w:t>
      </w:r>
      <w:r>
        <w:rPr>
          <w:iCs/>
          <w:i/>
        </w:rPr>
        <w:t xml:space="preserve">et al.</w:t>
      </w:r>
      <w:r>
        <w:t xml:space="preserve"> </w:t>
      </w:r>
      <w:r>
        <w:t xml:space="preserve">2019)</w:t>
      </w:r>
      <w:r>
        <w:t xml:space="preserve">.</w:t>
      </w:r>
      <w:r>
        <w:t xml:space="preserve"> </w:t>
      </w:r>
      <w:r>
        <w:t xml:space="preserve">Drought events can threaten this sink at different temporal scales; the 2015-2016 ENSO drought in the Amazon temporarily shifted the region from a net sink to a net source of carbon</w:t>
      </w:r>
      <w:r>
        <w:t xml:space="preserve"> </w:t>
      </w:r>
      <w:r>
        <w:t xml:space="preserve">(Brando</w:t>
      </w:r>
      <w:r>
        <w:t xml:space="preserve"> </w:t>
      </w:r>
      <w:r>
        <w:rPr>
          <w:iCs/>
          <w:i/>
        </w:rPr>
        <w:t xml:space="preserve">et al.</w:t>
      </w:r>
      <w:r>
        <w:t xml:space="preserve"> </w:t>
      </w:r>
      <w:r>
        <w:t xml:space="preserve">2019)</w:t>
      </w:r>
      <w:r>
        <w:t xml:space="preserve">.</w:t>
      </w:r>
      <w:r>
        <w:t xml:space="preserve"> </w:t>
      </w:r>
      <w:r>
        <w:t xml:space="preserve">However, the study of tropical tree woody growth responses to drought is inhibited by the fact that few tropical species form rings and long-term annual records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We know that drought characteristics [], species traits, and microenvironment</w:t>
      </w:r>
      <w:r>
        <w:t xml:space="preserve"> </w:t>
      </w:r>
      <w:r>
        <w:t xml:space="preserve">(Bennett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w:t>
      </w:r>
      <w:r>
        <w:t xml:space="preserve">all affect tree growth responses.</w:t>
      </w:r>
      <w:r>
        <w:t xml:space="preserve"> </w:t>
      </w:r>
      <w:r>
        <w:t xml:space="preserve">However, we know little about their combined effects or potential interactions, which could fundamentally alter our understanding of forest responses to drought.</w:t>
      </w:r>
      <w:r>
        <w:t xml:space="preserve"> </w:t>
      </w:r>
      <w:r>
        <w:t xml:space="preserve"> </w:t>
      </w:r>
      <w:r>
        <w:t xml:space="preserve">Specifically, if drought tolerance is influenced independently by drought characteristics, species traits, and microenvironment, tree drought responses may be conserved, and therefore linearly predictable; for example, a species with low sensitivity to past droughts would be among the least sensitive species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w:t>
      </w:r>
      <w:r>
        <w:t xml:space="preserve">.</w:t>
      </w:r>
    </w:p>
    <w:p>
      <w:pPr>
        <w:pStyle w:val="BodyText"/>
      </w:pPr>
      <w:r>
        <w:t xml:space="preserve">Drought characteristics can influence climatic drivers of tree growth and their timing, and affect drought sensitivity of tropical trees.</w:t>
      </w:r>
      <w:r>
        <w:t xml:space="preserve"> </w:t>
      </w:r>
      <w:r>
        <w:t xml:space="preserve">Droughts are notoriously hard to define and encompass a variey of types based on the meteorogical/climatic variables affected</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Here we define drought as hot/dry conditions anomalously departing from long-term means during any given time of year.</w:t>
      </w:r>
      <w:r>
        <w:t xml:space="preserve"> </w:t>
      </w:r>
      <w:r>
        <w:t xml:space="preserve"> </w:t>
      </w:r>
      <w:r>
        <w:t xml:space="preserve"> </w:t>
      </w:r>
      <w:r>
        <w:t xml:space="preserve">Tree growth responses to drought timing can be more pronounced in seasonally dry tropical forests because of strong seasonality in climate and consequently on photosynthesis, allocation and growth (including dry seasons unfavourable to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(Here we distinguish dry season from drought with differences in peridicity; dry season represents hot/dry conditions that are periodic, annual and predictable, droughts are unpredictable and anomalous hot, dry conditions.)</w:t>
      </w:r>
      <w:r>
        <w:t xml:space="preserve"> </w:t>
      </w:r>
      <w:r>
        <w:t xml:space="preserve">Seasonally dry tropical forests are also at thermal/water stress tolerance thresholds, making them more vulnerable to drought</w:t>
      </w:r>
      <w:r>
        <w:t xml:space="preserve"> </w:t>
      </w:r>
      <w:r>
        <w:t xml:space="preserve">(Allen</w:t>
      </w:r>
      <w:r>
        <w:t xml:space="preserve"> </w:t>
      </w:r>
      <w:r>
        <w:rPr>
          <w:iCs/>
          <w:i/>
        </w:rPr>
        <w:t xml:space="preserve">et al.</w:t>
      </w:r>
      <w:r>
        <w:t xml:space="preserve"> </w:t>
      </w:r>
      <w:r>
        <w:t xml:space="preserve">2017)</w:t>
      </w:r>
      <w:r>
        <w:t xml:space="preserve">, and leading to stand-level patterns of drought-associated water stress</w:t>
      </w:r>
      <w:r>
        <w:t xml:space="preserve"> </w:t>
      </w:r>
      <w:r>
        <w:t xml:space="preserve">(Aguirre-Gutiérrez</w:t>
      </w:r>
      <w:r>
        <w:t xml:space="preserve"> </w:t>
      </w:r>
      <w:r>
        <w:rPr>
          <w:iCs/>
          <w:i/>
        </w:rPr>
        <w:t xml:space="preserve">et al.</w:t>
      </w:r>
      <w:r>
        <w:t xml:space="preserve"> </w:t>
      </w:r>
      <w:r>
        <w:t xml:space="preserve">2019; Bauman</w:t>
      </w:r>
      <w:r>
        <w:t xml:space="preserve"> </w:t>
      </w:r>
      <w:r>
        <w:rPr>
          <w:iCs/>
          <w:i/>
        </w:rPr>
        <w:t xml:space="preserve">et al.</w:t>
      </w:r>
      <w:r>
        <w:t xml:space="preserve"> </w:t>
      </w:r>
      <w:r>
        <w:t xml:space="preserve">2022; Bennett</w:t>
      </w:r>
      <w:r>
        <w:t xml:space="preserve"> </w:t>
      </w:r>
      <w:r>
        <w:rPr>
          <w:iCs/>
          <w:i/>
        </w:rPr>
        <w:t xml:space="preserve">et al.</w:t>
      </w:r>
      <w:r>
        <w:t xml:space="preserve"> </w:t>
      </w:r>
      <w:r>
        <w:t xml:space="preserve">2023)</w:t>
      </w:r>
      <w:r>
        <w:t xml:space="preserve">.</w:t>
      </w:r>
      <w:r>
        <w:t xml:space="preserve"> </w:t>
      </w:r>
      <w:r>
        <w:t xml:space="preserve">Analyses to date have found that the woody growth of tropical trees</w:t>
      </w:r>
      <w:r>
        <w:t xml:space="preserve"> </w:t>
      </w:r>
      <w:r>
        <w:t xml:space="preserve">is particularly vulnerable to dry season precipitation</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Trees in seasonally dry tropical forests exhibit a mix of strategies - along a spectrum of conservative to acquisitive water-use - that support survival and growth despite strong seasonal hot/dry stress, which might confer differential advantages in drought conditions.</w:t>
      </w:r>
    </w:p>
    <w:p>
      <w:pPr>
        <w:pStyle w:val="BodyText"/>
      </w:pPr>
      <w:r>
        <w:t xml:space="preserve">Trees in seasonally dry forests have strategies that span and interact across timescales to maximise growth and survival under periodic hot/dry conditions.</w:t>
      </w:r>
      <w:r>
        <w:br/>
      </w:r>
      <w:r>
        <w:t xml:space="preserve">- evolutionary timescales - e.g. dry season deciduousness</w:t>
      </w:r>
      <w:r>
        <w:br/>
      </w:r>
      <w:r>
        <w:t xml:space="preserve">- Deciduous species, with shorter duration with leaves can have acquisitive strategies during leaf on</w:t>
      </w:r>
      <w:r>
        <w:t xml:space="preserve"> </w:t>
      </w:r>
      <w:r>
        <w:t xml:space="preserve">(De Souza</w:t>
      </w:r>
      <w:r>
        <w:t xml:space="preserve"> </w:t>
      </w:r>
      <w:r>
        <w:rPr>
          <w:iCs/>
          <w:i/>
        </w:rPr>
        <w:t xml:space="preserve">et al.</w:t>
      </w:r>
      <w:r>
        <w:t xml:space="preserve"> </w:t>
      </w:r>
      <w:r>
        <w:t xml:space="preserve">2020)</w:t>
      </w:r>
      <w:r>
        <w:t xml:space="preserve">.</w:t>
      </w:r>
      <w:r>
        <w:br/>
      </w:r>
      <w:r>
        <w:t xml:space="preserve">- Species with drought tolerant traits like deep roots, more negative turgor loss point and … can be more or less resistant to drought</w:t>
      </w:r>
      <w:r>
        <w:t xml:space="preserve"> </w:t>
      </w:r>
      <w:r>
        <w:t xml:space="preserve">(Chitra-Tarak</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br/>
      </w:r>
      <w:r>
        <w:t xml:space="preserve">- ecophysiological - e.g. negative TLPs, plasticity in deciduousness (root/shoot)</w:t>
      </w:r>
      <w:r>
        <w:t xml:space="preserve"> </w:t>
      </w:r>
      <w:r>
        <w:t xml:space="preserve">- These spectrum of species strategies in seasonally dry forests for demographic stability under hot dry seasons might have distinct consequences for sensitivity, based on drought characteristics.</w:t>
      </w:r>
    </w:p>
    <w:p>
      <w:pPr>
        <w:pStyle w:val="BodyText"/>
      </w:pPr>
      <w:r>
        <w:t xml:space="preserve">Individual growth responses to drought can also depend on the specific microenvironments they experience that can lead to distict atmospheric and hydrological stresses with ecological consequences.</w:t>
      </w:r>
      <w:r>
        <w:br/>
      </w:r>
      <w:r>
        <w:t xml:space="preserve">- Larger trees suffer more growth declines during drought</w:t>
      </w:r>
      <w:r>
        <w:t xml:space="preserve"> </w:t>
      </w:r>
      <w:r>
        <w:t xml:space="preserve">(Bennett</w:t>
      </w:r>
      <w:r>
        <w:t xml:space="preserve"> </w:t>
      </w:r>
      <w:r>
        <w:rPr>
          <w:iCs/>
          <w:i/>
        </w:rPr>
        <w:t xml:space="preserve">et al.</w:t>
      </w:r>
      <w:r>
        <w:t xml:space="preserve"> </w:t>
      </w:r>
      <w:r>
        <w:t xml:space="preserve">2015)</w:t>
      </w:r>
      <w:r>
        <w:t xml:space="preserve">, exposed crowns -&gt; more thermal stress</w:t>
      </w:r>
      <w:r>
        <w:t xml:space="preserve"> </w:t>
      </w:r>
      <w:r>
        <w:t xml:space="preserve">(Vinod</w:t>
      </w:r>
      <w:r>
        <w:t xml:space="preserve"> </w:t>
      </w:r>
      <w:r>
        <w:rPr>
          <w:iCs/>
          <w:i/>
        </w:rPr>
        <w:t xml:space="preserve">et al.</w:t>
      </w:r>
      <w:r>
        <w:t xml:space="preserve"> </w:t>
      </w:r>
      <w:r>
        <w:t xml:space="preserve">2023)</w:t>
      </w:r>
      <w:r>
        <w:t xml:space="preserve"> </w:t>
      </w:r>
      <w:r>
        <w:t xml:space="preserve">although crown exposure -&gt; more light -&gt; more growth in normal years.</w:t>
      </w:r>
      <w:r>
        <w:t xml:space="preserve"> </w:t>
      </w:r>
      <w:r>
        <w:t xml:space="preserve">- ecological timescales - e.g. distribution of trees in relation to wetness</w:t>
      </w:r>
      <w:r>
        <w:br/>
      </w:r>
      <w:r>
        <w:t xml:space="preserve">- Species distribution of evergreen species covarying with soil moisture</w:t>
      </w:r>
      <w:r>
        <w:t xml:space="preserve"> </w:t>
      </w:r>
      <w:r>
        <w:t xml:space="preserve">(Kunert</w:t>
      </w:r>
      <w:r>
        <w:t xml:space="preserve"> </w:t>
      </w:r>
      <w:r>
        <w:rPr>
          <w:iCs/>
          <w:i/>
        </w:rPr>
        <w:t xml:space="preserve">et al.</w:t>
      </w:r>
      <w:r>
        <w:t xml:space="preserve"> </w:t>
      </w:r>
      <w:r>
        <w:t xml:space="preserve">2021)</w:t>
      </w:r>
      <w:r>
        <w:t xml:space="preserve"> </w:t>
      </w:r>
      <w:r>
        <w:t xml:space="preserve">and potentially affecting survival and growth.</w:t>
      </w:r>
      <w:r>
        <w:br/>
      </w:r>
      <w:r>
        <w:t xml:space="preserve">- Larger trees have larger root systems, but do not necessarily access deeper water</w:t>
      </w:r>
      <w:r>
        <w:t xml:space="preserve"> </w:t>
      </w:r>
      <w:r>
        <w:t xml:space="preserve">(</w:t>
      </w:r>
      <w:r>
        <w:rPr>
          <w:bCs/>
          <w:b/>
        </w:rPr>
        <w:t xml:space="preserve">ref_from_Panama?</w:t>
      </w:r>
      <w:r>
        <w:t xml:space="preserve">)</w:t>
      </w:r>
      <w:r>
        <w:br/>
      </w:r>
      <w:r>
        <w:t xml:space="preserve">- Even when trees are accessing deeper water, this does not mean that they’re in better shape during drought. Rather, trees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br/>
      </w:r>
      <w:r>
        <w:t xml:space="preserve">- indeed, there is evidence that trees near streams undergo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w:t>
      </w:r>
      <w:r>
        <w:rPr>
          <w:bCs/>
          <w:b/>
        </w:rPr>
        <w:t xml:space="preserve">zuleta?</w:t>
      </w:r>
      <w:r>
        <w:t xml:space="preserve">)</w:t>
      </w:r>
      <w:r>
        <w:t xml:space="preserve"> </w:t>
      </w:r>
      <w:r>
        <w:t xml:space="preserve">during drought</w:t>
      </w:r>
      <w:r>
        <w:br/>
      </w:r>
      <w:r>
        <w:t xml:space="preserve">- Some of these adaptations may confer drought sensitivity and buffer stem growth declines during drought years, or conversely, may tradeoff with advantages in normal years, leading to a diversity of responses within a drought event.</w:t>
      </w:r>
      <w:r>
        <w:br/>
      </w:r>
      <w:r>
        <w:t xml:space="preserve">- Moreover, drought characteristics can positively or negatively interfere with these factors, leading to consistent or heterogenous sensitivities across drought events.</w:t>
      </w:r>
    </w:p>
    <w:p>
      <w:pPr>
        <w:pStyle w:val="BodyText"/>
      </w:pPr>
    </w:p>
    <w:p>
      <w:pPr>
        <w:pStyle w:val="BodyText"/>
      </w:pPr>
      <w:r>
        <w:t xml:space="preserve">We hypothesize that tropical tree drought sensitivity is jointly and interactively shaped by drought characteristics, species adaptations, and individual microenvironments.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size or topographic location, can buffer growth declines.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Climate anomaly (SPEI, VPD etc.)</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strong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moderate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r>
        <w:trPr>
          <w:trHeight w:val="544"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bl>
    <w:bookmarkEnd w:id="25"/>
    <w:bookmarkStart w:id="34"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4754880"/>
            <wp:effectExtent b="0" l="0" r="0" t="0"/>
            <wp:docPr descr="Figure 1. Climatic characteristics of drought years and average years in Huai Kha Khaeng ForestGEO plot. For comments - https://github.com/forestgeo/growth-precip-thailand/issues/10" title="" id="27" name="Picture"/>
            <a:graphic>
              <a:graphicData uri="http://schemas.openxmlformats.org/drawingml/2006/picture">
                <pic:pic>
                  <pic:nvPicPr>
                    <pic:cNvPr descr="display/Fig1_anom_2.png" id="28"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Huai Kha Khaeng ForestGEO plot. For comments -</w:t>
      </w:r>
      <w:r>
        <w:t xml:space="preserve"> </w:t>
      </w:r>
      <w:hyperlink r:id="rId29">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at breast height (DBH) measurement at installation to calculate diameter at each dendroband census using standard equations that uses the chord across the measurement window to estimate the arc, assuming a circular cross section[condit].</w:t>
      </w:r>
      <w:r>
        <w:t xml:space="preserve"> </w:t>
      </w:r>
      <w:r>
        <w:t xml:space="preserve">Since this was dependent on the diameter measurement at installation, we used a direct measurement 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r>
        <w:t xml:space="preserve"> </w:t>
      </w: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We repeated the same steps using annual tape measurements made on each dendrobanded tree at each census and removed dendroband measurements that had low agreement with these annualised increments calculated from tape measurements.</w:t>
      </w:r>
      <w:r>
        <w:br/>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 https://github.com/forestgeo/growth-precip-thailand/issues/11" title="" id="31" name="Picture"/>
            <a:graphic>
              <a:graphicData uri="http://schemas.openxmlformats.org/drawingml/2006/picture">
                <pic:pic>
                  <pic:nvPicPr>
                    <pic:cNvPr descr="display/Fig2.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w:t>
      </w:r>
      <w:r>
        <w:t xml:space="preserve"> </w:t>
      </w:r>
      <w:hyperlink r:id="rId33">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Combining the growth timeseries from dendrometer band measurements with climatic information, we identified two drought years of interest - 2010 and 2015.</w:t>
      </w:r>
      <w:r>
        <w:t xml:space="preserve"> </w:t>
      </w:r>
      <w:r>
        <w:t xml:space="preserve">To identify drought years, we identified years with low plot-level growth rate and combined this with information on ENSO events that affected the landscape.</w:t>
      </w:r>
      <w:r>
        <w:t xml:space="preserve"> </w:t>
      </w:r>
      <w:r>
        <w:t xml:space="preserve">We chose to identify the years starting from the timeseries, instead of directly using climate variables and their deviation because drought definitions vary widely, and drought characterisation of a year can vary based on the definition selected.</w:t>
      </w:r>
      <w:r>
        <w:t xml:space="preserve"> </w:t>
      </w:r>
      <w:r>
        <w:t xml:space="preserve">Moreover, broad definitions based on climate variables (often not measured at the location), may not capture ecological realities within the plot.</w:t>
      </w:r>
      <w:r>
        <w:t xml:space="preserve"> </w:t>
      </w:r>
      <w:r>
        <w:t xml:space="preserve">Out of the two years with low plot-level growth, 2010 was a moderate ENSO event while 2015 was a very strong ENSO event.</w:t>
      </w:r>
      <w:r>
        <w:t xml:space="preserve"> </w:t>
      </w:r>
      <w:r>
        <w:t xml:space="preserve">These years also corresponded with expert knowledge of major droughts that affected the region.</w:t>
      </w:r>
      <w:r>
        <w:t xml:space="preserve"> </w:t>
      </w:r>
      <w:r>
        <w:t xml:space="preserve">We also note that we chose not to include 2020 in our analysis despite low growth, because a) declines in growth can occur due to various reasons which could have distinct ecological responses in species and individuals b) 2020 did not emerge as a drought year either in the examination of drought indicators or from expert knowledge.</w:t>
      </w:r>
    </w:p>
    <w:p>
      <w:pPr>
        <w:pStyle w:val="BodyText"/>
      </w:pPr>
      <w:r>
        <w:t xml:space="preserve">To characterise these two droughts, we used climate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t xml:space="preserve">We first calculated daily values of Vapour Pressure Deficit using the equation</w:t>
      </w:r>
    </w:p>
    <w:p>
      <w:pPr>
        <w:pStyle w:val="BodyText"/>
      </w:pPr>
      <m:oMathPara>
        <m:oMathParaPr>
          <m:jc m:val="center"/>
        </m:oMathParaPr>
        <m:oMath>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the long-term mean for each variable as the mean of the values of the rolling mean across all years of the dendroband measurements, and the standard error around this mean.</w:t>
      </w:r>
      <w:r>
        <w:t xml:space="preserve"> </w:t>
      </w:r>
      <w:r>
        <w:t xml:space="preserve">We also used the SPEIbase dataset [REF] to calculate the Standardised Precipitation-Evapotranspiration Index, a drought severity index, calculated at the monthly scale.</w:t>
      </w:r>
      <w:r>
        <w:t xml:space="preserve"> </w:t>
      </w:r>
      <w:r>
        <w:t xml:space="preserve">We report monthly SPEI for the two drought years along with long-term mean SPEI for each month.</w:t>
      </w:r>
    </w:p>
    <w:p>
      <w:pPr>
        <w:pStyle w:val="BodyText"/>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w:t>
      </w:r>
      <w:r>
        <w:t xml:space="preserve"> </w:t>
      </w:r>
      <w:r>
        <w:t xml:space="preserve">We first calculated the mean annual increment for each tree as the mean of the annualised increments across the whole timeseries.</w:t>
      </w:r>
      <w:r>
        <w:t xml:space="preserve"> </w:t>
      </w:r>
      <w:r>
        <w:t xml:space="preserve">We then calculated sensitivity for each tree 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To account for potential biases in annual increments from dendrobands from water-related growth or shrinkage, we also calculated growth occurrence using a zero-growth assumption</w:t>
      </w:r>
      <w:r>
        <w:t xml:space="preserve"> </w:t>
      </w:r>
      <w:r>
        <w:t xml:space="preserve">(</w:t>
      </w:r>
      <w:r>
        <w:rPr>
          <w:bCs/>
          <w:b/>
        </w:rPr>
        <w:t xml:space="preserve">zweifel?</w:t>
      </w:r>
      <w:r>
        <w:t xml:space="preserve">)</w:t>
      </w:r>
      <w:r>
        <w:t xml:space="preserve">.</w:t>
      </w:r>
      <w:r>
        <w:t xml:space="preserve"> </w:t>
      </w:r>
      <w:r>
        <w:t xml:space="preserve">Under this assumption, positive DBH change is scored as 1 and any change &lt;=0 is scored as 0.</w:t>
      </w:r>
      <w:r>
        <w:t xml:space="preserve"> </w:t>
      </w:r>
      <w:r>
        <w:t xml:space="preserve">Timing of measurement and seasonal dynamics in tree hydration and bark dynamics could contribute to negative values in dendrometer band increments, unlike woody growth from tree ring datasets</w:t>
      </w:r>
      <w:r>
        <w:t xml:space="preserve"> </w:t>
      </w:r>
      <w:r>
        <w:t xml:space="preserve">(</w:t>
      </w:r>
      <w:r>
        <w:rPr>
          <w:bCs/>
          <w:b/>
        </w:rPr>
        <w:t xml:space="preserve">chitra-tarak?</w:t>
      </w:r>
      <w:r>
        <w:t xml:space="preserve">)</w:t>
      </w:r>
      <w:r>
        <w:t xml:space="preserve">.</w:t>
      </w:r>
      <w:r>
        <w:t xml:space="preserve"> </w:t>
      </w:r>
      <w:r>
        <w:t xml:space="preserve">To account for biases introduced by timing of measurements and seasonal dynamics, we used this simplifying assumption to corroborate the patterns observed with the sensitivity metric.</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three species-level traits : deciduousness, maximum size and niche breadth.</w:t>
      </w:r>
      <w:r>
        <w:t xml:space="preserve"> </w:t>
      </w:r>
      <w:r>
        <w:t xml:space="preserve">We defined deciduousness as the mean proportion of canopy loss at maximum loss across individuals in the species, with a score ranging from 1 to 4 where 1 is most evergreen and 4 is most deciduous.</w:t>
      </w:r>
      <w:r>
        <w:t xml:space="preserve"> </w:t>
      </w:r>
      <w:r>
        <w:t xml:space="preserve">We used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Out of these, 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t xml:space="preserve"> </w:t>
      </w:r>
      <w:r>
        <w:t xml:space="preserve">At the species level, we also calculated the maximum size across all individuals in the plot as measured in the 2008 whole-plot census.</w:t>
      </w:r>
      <w:r>
        <w:t xml:space="preserve"> </w:t>
      </w:r>
      <w:r>
        <w:t xml:space="preserve">We calculated niche breadth as the standard deviation of TWI across all observed individuals of each species in the whole plot census in 2008.</w:t>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three species-level traits - deciduousness, maximum size and niche breadth using simple linear models.</w:t>
      </w:r>
    </w:p>
    <w:p>
      <w:pPr>
        <w:pStyle w:val="BodyText"/>
      </w:pPr>
      <w:r>
        <w:t xml:space="preserve">To model the interactive effects of deciduousness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drivers of stem-level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[REF].</w:t>
      </w:r>
      <w:r>
        <w:t xml:space="preserve"> </w:t>
      </w:r>
      <w:r>
        <w:t xml:space="preserve">We ran 4 MCMC chains for 3000 iterations with 1000 of these set as warmup.</w:t>
      </w:r>
      <w:r>
        <w:t xml:space="preserve"> </w:t>
      </w:r>
      <w:r>
        <w:t xml:space="preserve">We extracted draws, calculated distributions using functions from the</w:t>
      </w:r>
      <w:r>
        <w:t xml:space="preserve"> </w:t>
      </w:r>
      <w:r>
        <w:rPr>
          <w:iCs/>
          <w:i/>
        </w:rPr>
        <w:t xml:space="preserve">posterior</w:t>
      </w:r>
      <w:r>
        <w:t xml:space="preserve"> </w:t>
      </w:r>
      <w:r>
        <w:t xml:space="preserve">package [REF].</w:t>
      </w:r>
    </w:p>
    <w:bookmarkEnd w:id="34"/>
    <w:bookmarkStart w:id="51" w:name="results"/>
    <w:p>
      <w:pPr>
        <w:pStyle w:val="Heading1"/>
      </w:pPr>
      <w:r>
        <w:t xml:space="preserve">Results</w:t>
      </w:r>
    </w:p>
    <w:bookmarkStart w:id="35"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(Fig 1).</w:t>
      </w:r>
      <w:r>
        <w:t xml:space="preserve"> </w:t>
      </w:r>
      <w:r>
        <w:t xml:space="preserve">In 2010, drought characteristics of lower precipitation, higher number of dry days, higher maximum temperature, higher VPD than the long-term mean and SPEI values below -1 occurred between February and April, in the dry season.</w:t>
      </w:r>
      <w:r>
        <w:t xml:space="preserve"> </w:t>
      </w:r>
      <w:r>
        <w:t xml:space="preserve">On the other hand, in 2015, similar deviations occurred in May and June, in the wet season.</w:t>
      </w:r>
      <w:r>
        <w:t xml:space="preserve"> </w:t>
      </w:r>
      <w:r>
        <w:t xml:space="preserve">In 2015, SPEI in May was -2, an anomalously low value that was not observed in any month in the entire dendroband census time period, suggesting a severe drought.</w:t>
      </w:r>
    </w:p>
    <w:bookmarkEnd w:id="35"/>
    <w:bookmarkStart w:id="40" w:name="Xc23e9d5622289811ff74ac15f14b23934aee219"/>
    <w:p>
      <w:pPr>
        <w:pStyle w:val="Heading2"/>
      </w:pPr>
      <w:r>
        <w:t xml:space="preserve">Drought sensitivity across distinct drought events</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w:t>
      </w:r>
      <w:r>
        <w:t xml:space="preserve"> </w:t>
      </w:r>
      <m:oMath>
        <m:r>
          <m:rPr>
            <m:sty m:val="p"/>
          </m:rPr>
          <m:t>±</m:t>
        </m:r>
      </m:oMath>
      <w:r>
        <w:t xml:space="preserve"> </w:t>
      </w:r>
      <w:r>
        <w:t xml:space="preserve">0.28 cm.</w:t>
      </w:r>
      <w:r>
        <w:t xml:space="preserve"> </w:t>
      </w:r>
      <w:r>
        <w:t xml:space="preserve">Median annual increment differed by species with</w:t>
      </w:r>
      <w:r>
        <w:t xml:space="preserve"> </w:t>
      </w:r>
      <w:r>
        <w:rPr>
          <w:iCs/>
          <w:i/>
        </w:rPr>
        <w:t xml:space="preserve">Gluta obovata</w:t>
      </w:r>
      <w:r>
        <w:t xml:space="preserve"> </w:t>
      </w:r>
      <w:r>
        <w:t xml:space="preserve">having the lowest (0.06</w:t>
      </w:r>
      <w:r>
        <w:t xml:space="preserve"> </w:t>
      </w:r>
      <m:oMath>
        <m:r>
          <m:rPr>
            <m:sty m:val="p"/>
          </m:rPr>
          <m:t>±</m:t>
        </m:r>
      </m:oMath>
      <w:r>
        <w:t xml:space="preserve"> </w:t>
      </w:r>
      <w:r>
        <w:t xml:space="preserve">0.2 cm) and</w:t>
      </w:r>
      <w:r>
        <w:t xml:space="preserve"> </w:t>
      </w:r>
      <w:r>
        <w:rPr>
          <w:iCs/>
          <w:i/>
        </w:rPr>
        <w:t xml:space="preserve">Dipterocarpus alatus</w:t>
      </w:r>
      <w:r>
        <w:t xml:space="preserve"> </w:t>
      </w:r>
      <w:r>
        <w:t xml:space="preserve">the highest (0.36</w:t>
      </w:r>
      <w:r>
        <w:t xml:space="preserve"> </w:t>
      </w:r>
      <m:oMath>
        <m:r>
          <m:rPr>
            <m:sty m:val="p"/>
          </m:rPr>
          <m:t>±</m:t>
        </m:r>
      </m:oMath>
      <w:r>
        <w:t xml:space="preserve"> </w:t>
      </w:r>
      <w:r>
        <w:t xml:space="preserve">0.34 cm) among the 30 species analysed.</w:t>
      </w:r>
    </w:p>
    <w:p>
      <w:pPr>
        <w:pStyle w:val="BodyText"/>
      </w:pPr>
      <w:r>
        <w:t xml:space="preserve">Drought years were associated with lower growth across the plot.</w:t>
      </w:r>
      <w:r>
        <w:t xml:space="preserve"> </w:t>
      </w:r>
      <w:r>
        <w:t xml:space="preserve">The drought year 2015 had the lowest median annual increment 0.08 cm, 52.68% lower than the median across all years.</w:t>
      </w:r>
      <w:r>
        <w:t xml:space="preserve"> </w:t>
      </w:r>
      <w:r>
        <w:t xml:space="preserve">In 2010, the median annual increment was 0.15 cm, 13.33% lower than the median across all years.</w:t>
      </w:r>
      <w:r>
        <w:t xml:space="preserve"> </w:t>
      </w:r>
      <w:r>
        <w:t xml:space="preserve">While there were more species differences in median responses to the 2010 drought, all species had lower increment than a typical year in 2015.</w:t>
      </w:r>
      <w:r>
        <w:t xml:space="preserve"> </w:t>
      </w:r>
      <w:r>
        <w:t xml:space="preserve">Besides decrease in magnitude of growth, the proportion of trees with negative growth was also higher in the drought years.</w:t>
      </w:r>
      <w:r>
        <w:t xml:space="preserve"> </w:t>
      </w:r>
      <w:r>
        <w:t xml:space="preserve">Across the years, on average, 11.42% of the trees had negative growth, with a minimum of 6.7% in 2011. The drought year 2015 had the maximum proportion of trees with negative growth in the timeseries, 22.57%.</w:t>
      </w:r>
    </w:p>
    <w:p>
      <w:pPr>
        <w:pStyle w:val="BodyText"/>
      </w:pPr>
      <w:r>
        <w:t xml:space="preserve">Trees on average had negative drought sensitivities for both droughts with considerable variation around it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w:t>
      </w:r>
      <w:r>
        <w:t xml:space="preserve"> </w:t>
      </w:r>
      <w:r>
        <w:rPr>
          <w:iCs/>
          <w:i/>
        </w:rPr>
        <w:t xml:space="preserve">Alphonsea ventricosa</w:t>
      </w:r>
      <w:r>
        <w:t xml:space="preserve"> </w:t>
      </w:r>
      <w:r>
        <w:t xml:space="preserve">and</w:t>
      </w:r>
      <w:r>
        <w:t xml:space="preserve"> </w:t>
      </w:r>
      <w:r>
        <w:rPr>
          <w:iCs/>
          <w:i/>
        </w:rPr>
        <w:t xml:space="preserve">Afzelia xylocarpa</w:t>
      </w:r>
      <w:r>
        <w:t xml:space="preserve"> </w:t>
      </w:r>
      <w:r>
        <w:t xml:space="preserve">had the lowest and highest median sensitivity of -0.94 and 0.65 respectively.</w:t>
      </w:r>
      <w:r>
        <w:t xml:space="preserve"> </w:t>
      </w:r>
      <w:r>
        <w:t xml:space="preserve">In 2015,</w:t>
      </w:r>
      <w:r>
        <w:t xml:space="preserve"> </w:t>
      </w:r>
      <w:r>
        <w:rPr>
          <w:iCs/>
          <w:i/>
        </w:rPr>
        <w:t xml:space="preserve">Dimocarpus longan</w:t>
      </w:r>
      <w:r>
        <w:t xml:space="preserve"> </w:t>
      </w:r>
      <w:r>
        <w:t xml:space="preserve">and</w:t>
      </w:r>
      <w:r>
        <w:t xml:space="preserve"> </w:t>
      </w:r>
      <w:r>
        <w:rPr>
          <w:iCs/>
          <w:i/>
        </w:rPr>
        <w:t xml:space="preserve">Mitrephora thorelii</w:t>
      </w:r>
      <w:r>
        <w:t xml:space="preserve"> </w:t>
      </w:r>
      <w:r>
        <w:t xml:space="preserve">had the lowest and highest median sensitivity of -1.06 and 0.02 respectively.</w:t>
      </w:r>
    </w:p>
    <w:p>
      <w:pPr>
        <w:pStyle w:val="CaptionedFigure"/>
      </w:pPr>
      <w:r>
        <w:drawing>
          <wp:inline>
            <wp:extent cx="5943600" cy="5943600"/>
            <wp:effectExtent b="0" l="0" r="0" t="0"/>
            <wp:docPr descr="Figure 3: Variation in sensitivity among species in the Huai Kha Khaeng ForestGEO plot during droughts in 2010 and 2015. For comments: https://github.com/forestgeo/growth-precip-thailand/issues/12" title="" id="37" name="Picture"/>
            <a:graphic>
              <a:graphicData uri="http://schemas.openxmlformats.org/drawingml/2006/picture">
                <pic:pic>
                  <pic:nvPicPr>
                    <pic:cNvPr descr="display/Fig3.png" id="38" name="Picture"/>
                    <pic:cNvPicPr>
                      <a:picLocks noChangeArrowheads="1" noChangeAspect="1"/>
                    </pic:cNvPicPr>
                  </pic:nvPicPr>
                  <pic:blipFill>
                    <a:blip r:embed="rId3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For comments:</w:t>
      </w:r>
      <w:r>
        <w:t xml:space="preserve"> </w:t>
      </w:r>
      <w:hyperlink r:id="rId39">
        <w:r>
          <w:rPr>
            <w:rStyle w:val="Hyperlink"/>
          </w:rPr>
          <w:t xml:space="preserve">https://github.com/forestgeo/growth-precip-thailand/issues/12</w:t>
        </w:r>
      </w:hyperlink>
    </w:p>
    <w:bookmarkEnd w:id="40"/>
    <w:bookmarkStart w:id="45" w:name="X059fbc513bd12695e1d89010b235c7f920b4b68"/>
    <w:p>
      <w:pPr>
        <w:pStyle w:val="Heading2"/>
      </w:pPr>
      <w:r>
        <w:t xml:space="preserve">Predictors of species-level variation in drought sensitivity</w:t>
      </w:r>
    </w:p>
    <w:p>
      <w:pPr>
        <w:pStyle w:val="FirstParagraph"/>
      </w:pPr>
      <w:r>
        <w:t xml:space="preserve">Deciduousness was associated with lower negative sensitivities in 2015, but not in 2010 (Fig 3a).</w:t>
      </w:r>
      <w:r>
        <w:t xml:space="preserve"> </w:t>
      </w:r>
      <w:r>
        <w:t xml:space="preserve">Species median sensitivities in 2010 and 2015 were not correlated with each other (Pearson’s correlation coefficient r = 0.11, p = 0.57) but on average had lower mean and median sensitivities in 2015 than in 2010, in alignment with median sensitivities across all trees.</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p>
      <w:pPr>
        <w:pStyle w:val="BodyText"/>
      </w:pPr>
      <w:r>
        <w:t xml:space="preserve">The effect of TWI on sensitivity was different in 2010 and 2015, with 2015 effects interacting with deciduousness.</w:t>
      </w:r>
      <w:r>
        <w:t xml:space="preserve"> </w:t>
      </w:r>
      <w:r>
        <w:t xml:space="preserve">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opposite effects of TWI on sensitivity in the wet and dry season drought, and the influence of deciduousness was also confirmed by models that controlled for crown exposure and size as well as species variation in intercept and slopes (Fig 4a).</w:t>
      </w:r>
      <w:r>
        <w:t xml:space="preserve"> </w:t>
      </w:r>
      <w:r>
        <w:t xml:space="preserve">These models showed small negative sensitivities in wetter sites in the dry season drought (median effect =-0.04, 90% CI -0.09, 0.02), but strong positive effect of wetness in the wet season drought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show increase with wetness (Fig 4c).</w:t>
      </w:r>
      <w:r>
        <w:t xml:space="preserve"> </w:t>
      </w:r>
      <w:r>
        <w:t xml:space="preserve">On the other hand, neither the mean sensitivities across species nor their response to TWI was associated with deciduousness in 2010.</w:t>
      </w:r>
    </w:p>
    <w:p>
      <w:pPr>
        <w:pStyle w:val="CaptionedFigure"/>
      </w:pPr>
      <w:r>
        <w:drawing>
          <wp:inline>
            <wp:extent cx="5943600" cy="2971800"/>
            <wp:effectExtent b="0" l="0" r="0" t="0"/>
            <wp:docPr descr="Figure 4: Drivers of variation in sensitivity among individuals. For comments - https://github.com/forestgeo/growth-precip-thailand/issues/13" title="" id="42" name="Picture"/>
            <a:graphic>
              <a:graphicData uri="http://schemas.openxmlformats.org/drawingml/2006/picture">
                <pic:pic>
                  <pic:nvPicPr>
                    <pic:cNvPr descr="display/Fig4.png" id="43" name="Picture"/>
                    <pic:cNvPicPr>
                      <a:picLocks noChangeArrowheads="1" noChangeAspect="1"/>
                    </pic:cNvPicPr>
                  </pic:nvPicPr>
                  <pic:blipFill>
                    <a:blip r:embed="rId41"/>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For comments -</w:t>
      </w:r>
      <w:r>
        <w:t xml:space="preserve"> </w:t>
      </w:r>
      <w:hyperlink r:id="rId44">
        <w:r>
          <w:rPr>
            <w:rStyle w:val="Hyperlink"/>
          </w:rPr>
          <w:t xml:space="preserve">https://github.com/forestgeo/growth-precip-thailand/issues/13</w:t>
        </w:r>
      </w:hyperlink>
    </w:p>
    <w:bookmarkEnd w:id="45"/>
    <w:bookmarkStart w:id="50" w:name="X3201409ee9d02256f856fd74ae809750939abbf"/>
    <w:p>
      <w:pPr>
        <w:pStyle w:val="Heading2"/>
      </w:pPr>
      <w:r>
        <w:t xml:space="preserve">Predictors of stem-level variation in drought sensitivity</w:t>
      </w:r>
    </w:p>
    <w:p>
      <w:pPr>
        <w:pStyle w:val="FirstParagraph"/>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Accounting for effects of exposure, remaining effects of size on sensitivity differed between the two droughts.</w:t>
      </w:r>
      <w:r>
        <w:t xml:space="preserve"> </w:t>
      </w:r>
      <w:r>
        <w:t xml:space="preserve">DBH was a significant predictor of exposure category, with larger DBH associated with higher exposure categories in 2010 (median effect =4.02, 90% CI 3.75, 4.29) and 2015 (median effect =4.2, 90% CI 3.92, 4.49) (Fig 5a).</w:t>
      </w:r>
      <w:r>
        <w:t xml:space="preserve"> </w:t>
      </w:r>
      <w:r>
        <w:t xml:space="preserve">Controlling for this direct effect of exposure, the effect of exposure, the remaining effect of size</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5943600"/>
            <wp:effectExtent b="0" l="0" r="0" t="0"/>
            <wp:docPr descr="Figure 5: Effects of size, exposure and water availability For comments - https://github.com/forestgeo/growth-precip-thailand/issues/14" title="" id="47" name="Picture"/>
            <a:graphic>
              <a:graphicData uri="http://schemas.openxmlformats.org/drawingml/2006/picture">
                <pic:pic>
                  <pic:nvPicPr>
                    <pic:cNvPr descr="display/Fig5.png" id="48" name="Picture"/>
                    <pic:cNvPicPr>
                      <a:picLocks noChangeArrowheads="1" noChangeAspect="1"/>
                    </pic:cNvPicPr>
                  </pic:nvPicPr>
                  <pic:blipFill>
                    <a:blip r:embed="rId4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For comments -</w:t>
      </w:r>
      <w:r>
        <w:t xml:space="preserve"> </w:t>
      </w:r>
      <w:hyperlink r:id="rId49">
        <w:r>
          <w:rPr>
            <w:rStyle w:val="Hyperlink"/>
          </w:rPr>
          <w:t xml:space="preserve">https://github.com/forestgeo/growth-precip-thailand/issues/14</w:t>
        </w:r>
      </w:hyperlink>
    </w:p>
    <w:bookmarkEnd w:id="50"/>
    <w:bookmarkEnd w:id="51"/>
    <w:bookmarkStart w:id="52" w:name="discussion"/>
    <w:p>
      <w:pPr>
        <w:pStyle w:val="Heading1"/>
      </w:pPr>
      <w:r>
        <w:t xml:space="preserve">Discussion</w:t>
      </w:r>
    </w:p>
    <w:p>
      <w:pPr>
        <w:pStyle w:val="FirstParagraph"/>
      </w:pPr>
      <w:r>
        <w:t xml:space="preserve">We show strong evidence that tropical tree drought sensitivity can be jointly and interactively shaped by drought characteristics, species adaptations and local environmental conditions (Table 1).</w:t>
      </w:r>
      <w:r>
        <w:t xml:space="preserve"> </w:t>
      </w:r>
      <w:r>
        <w:t xml:space="preserve">Analysing two droughts in a 14-year dendrometer band timeseries, we found that tropical tree species and individuals grew less than average in drought years, reflecting in lower plot-level growth (Fig 2).</w:t>
      </w:r>
      <w:r>
        <w:br/>
      </w:r>
      <w:r>
        <w:t xml:space="preserve">Comparing across droughts, we found that despite the shorter duration of drought conditions, the wet-season drought elicited stronger responses across trees, but especially so for deciduous species that are expected to have stronger seasonality in growth phenology.</w:t>
      </w:r>
      <w:r>
        <w:br/>
      </w:r>
      <w:r>
        <w:t xml:space="preserve">Interestingly, in the wet-season drought, we also show that evergreen and deciduous species had divergent responses along a wetness gradient; evergreen trees fared better and deciduous species suffered worse declines in wetter sites.</w:t>
      </w:r>
      <w:r>
        <w:br/>
      </w:r>
      <w:r>
        <w:t xml:space="preserve">Further, besides consistent negative effects of crown exposure, we found that the drivers of variation among species and individuals in drought sensitivity were dissimilar between the drought events.</w:t>
      </w:r>
      <w:r>
        <w:t xml:space="preserve"> </w:t>
      </w:r>
      <w:r>
        <w:t xml:space="preserve">Water availability buffered exposure-associated growth declines through different mechanisms in the two different droughts - larger trees (with likely deeper roots) in the dry-season drought and trees in wetter sites in the wet-season drought suffered smaller declines in growth.</w:t>
      </w:r>
      <w:r>
        <w:br/>
      </w:r>
      <w:r>
        <w:t xml:space="preserve">Taken together, our analysis of tree growth in two different drought years, and spanning meaningful variation, shows that species and individuals can respond differently to different drought events.</w:t>
      </w:r>
      <w:r>
        <w:br/>
      </w:r>
      <w:r>
        <w:t xml:space="preserve">Despite stand-level growth declines in drought years, we show that these broad patterns mask enormous heterogeneity in individual and species responses to drought in tropical forests with possible consequences for the maintenance of species diveristy and ecosystem stability.</w:t>
      </w:r>
    </w:p>
    <w:p>
      <w:pPr>
        <w:pStyle w:val="BodyText"/>
      </w:pPr>
      <w:r>
        <w:t xml:space="preserve">Although our analysis spans representative spatial and ecological variation, we are limited in quantitatively analysing differences among droughts and variation in drought characteristics, because of low sample size.</w:t>
      </w:r>
      <w:r>
        <w:br/>
      </w:r>
      <w:r>
        <w:t xml:space="preserve">- Our analysis spans ecological and spatial/environmental variation realistic to tropical trees, and beyond previous such analyses.</w:t>
      </w:r>
      <w:r>
        <w:t xml:space="preserve"> </w:t>
      </w:r>
      <w:r>
        <w:t xml:space="preserve">- But given the relative shorter duration of the timeseries, the effort required to collect these data, and the unpredictability of drought events, our analysis only included two specific droughts.</w:t>
      </w:r>
      <w:r>
        <w:t xml:space="preserve"> </w:t>
      </w:r>
      <w:r>
        <w:t xml:space="preserve">- Thus, quantitative analyses parsing out the specific effects of drought characteristics like relative influence of timing and degree of anomaly is currently impossible, limiting interpretations.</w:t>
      </w:r>
      <w:r>
        <w:br/>
      </w:r>
      <w:r>
        <w:t xml:space="preserve">- However, as the record continues to grow, so does the potential to answer these questions.</w:t>
      </w:r>
    </w:p>
    <w:p>
      <w:pPr>
        <w:pStyle w:val="BodyText"/>
      </w:pPr>
      <w:r>
        <w:t xml:space="preserve">Tropical dry forests also represent periodic hot/dry conditions, leading to adaptations or other genetic variation for resistance, but this might not hold in other bioclimatic zones where ecological variability is different.</w:t>
      </w:r>
      <w:r>
        <w:br/>
      </w:r>
      <w:r>
        <w:t xml:space="preserve">- Trait variation across forest and bioclimatic types</w:t>
      </w:r>
      <w:r>
        <w:t xml:space="preserve"> </w:t>
      </w:r>
      <w:r>
        <w:t xml:space="preserve">- Careful interpretation across forest types with different adaptive pressures.</w:t>
      </w:r>
      <w:r>
        <w:br/>
      </w:r>
      <w:r>
        <w:t xml:space="preserve">- However, some generalisation is possible because despite low seasonality in climatic conditions, everwet forest species also show seasonal growth patterns.</w:t>
      </w:r>
    </w:p>
    <w:p>
      <w:pPr>
        <w:pStyle w:val="BodyText"/>
      </w:pPr>
      <w:r>
        <w:t xml:space="preserve">Despite consistent growth declines at the plot level across drought events, we show that this scale obscures a variety of ecological responses at the species and tree level that are heterogeneous across drought events.</w:t>
      </w:r>
      <w:r>
        <w:br/>
      </w:r>
      <w:r>
        <w:t xml:space="preserve">- Our finding that a wet season drought had bigger impact calls into question the generality of the findings of</w:t>
      </w:r>
      <w:r>
        <w:t xml:space="preserve"> </w:t>
      </w:r>
      <w:r>
        <w:t xml:space="preserve">Zuidema</w:t>
      </w:r>
      <w:r>
        <w:t xml:space="preserve"> </w:t>
      </w:r>
      <w:r>
        <w:rPr>
          <w:iCs/>
          <w:i/>
        </w:rPr>
        <w:t xml:space="preserve">et al.</w:t>
      </w:r>
      <w:r>
        <w:t xml:space="preserve"> </w:t>
      </w:r>
      <w:r>
        <w:t xml:space="preserve">(2022)</w:t>
      </w:r>
      <w:r>
        <w:t xml:space="preserve">, which found that in species with tree-ring chronologies, dry season drought was most impactful. However, care must be taken in interpretation, as the 2015-16 ENSO was stronger.</w:t>
      </w:r>
      <w:r>
        <w:t xml:space="preserve"> </w:t>
      </w:r>
      <w:r>
        <w:t xml:space="preserve">- Influence of deciduousness was different in the two different droughts.</w:t>
      </w:r>
      <w:r>
        <w:t xml:space="preserve"> </w:t>
      </w:r>
      <w:r>
        <w:t xml:space="preserve">-</w:t>
      </w:r>
      <w:r>
        <w:t xml:space="preserve"> </w:t>
      </w:r>
      <w:r>
        <w:rPr>
          <w:iCs/>
          <w:i/>
        </w:rPr>
        <w:t xml:space="preserve">Afzelia xylocarpa</w:t>
      </w:r>
      <w:r>
        <w:t xml:space="preserve">, one of the tree ring species had the most distinct (positive) sensitivity in the dry season drought, but a large negative sensitivity in the wet season drought - one of the most distinct responses.</w:t>
      </w:r>
      <w:r>
        <w:br/>
      </w:r>
      <w:r>
        <w:t xml:space="preserve">- More generally, tree ring and census estimates of drought sensitivity in seasonally dry tropical forests may be biased towards fast growing (measurable using tape) or dry-associated species (that form annual tree rings) - which might have been capturing only the more dramatic effects.</w:t>
      </w:r>
      <w:r>
        <w:t xml:space="preserve"> </w:t>
      </w:r>
      <w:r>
        <w:t xml:space="preserve">- Distinct responses of species and individuals to drought characteristics suggests potential spatiotemporal insurance effects among tropical tree response to drought.</w:t>
      </w:r>
    </w:p>
    <w:p>
      <w:pPr>
        <w:pStyle w:val="BodyText"/>
      </w:pPr>
      <w:r>
        <w:t xml:space="preserve">Drought sensitivity is often defined as a static species trait but we show dimensions beyond that with possible consequences for management and restoration</w:t>
      </w:r>
      <w:r>
        <w:t xml:space="preserve"> </w:t>
      </w:r>
      <w:r>
        <w:t xml:space="preserve">- Although net decrease at the plot level (agreement with landscape-scale in</w:t>
      </w:r>
      <w:r>
        <w:t xml:space="preserve"> </w:t>
      </w:r>
      <w:r>
        <w:t xml:space="preserve">(</w:t>
      </w:r>
      <w:r>
        <w:rPr>
          <w:bCs/>
          <w:b/>
        </w:rPr>
        <w:t xml:space="preserve">aguirre-guiterrez?</w:t>
      </w:r>
      <w:r>
        <w:t xml:space="preserve">)</w:t>
      </w:r>
      <w:r>
        <w:t xml:space="preserve">), we show evidence that the same strategies are not uniformly successfully across spatiotemporal climatic variation.</w:t>
      </w:r>
      <w:r>
        <w:br/>
      </w:r>
      <w:r>
        <w:t xml:space="preserve">- Frameworks that include ecological complexity and covarying traits with environment like</w:t>
      </w:r>
      <w:r>
        <w:t xml:space="preserve"> </w:t>
      </w:r>
      <w:r>
        <w:t xml:space="preserve">Trugman</w:t>
      </w:r>
      <w:r>
        <w:t xml:space="preserve"> </w:t>
      </w:r>
      <w:r>
        <w:rPr>
          <w:iCs/>
          <w:i/>
        </w:rPr>
        <w:t xml:space="preserve">et al.</w:t>
      </w:r>
      <w:r>
        <w:t xml:space="preserve"> </w:t>
      </w:r>
      <w:r>
        <w:t xml:space="preserve">(2021)</w:t>
      </w:r>
      <w:r>
        <w:t xml:space="preserve"> </w:t>
      </w:r>
      <w:r>
        <w:t xml:space="preserve">also assume individual trees to have consistent sensitivity across events, but our results demonstrate temporal dimensions of variation, at least partially attributable to drought characteristics.</w:t>
      </w:r>
      <w:r>
        <w:br/>
      </w:r>
      <w:r>
        <w:t xml:space="preserve">- Our results indicate that drought responses in tropical trees may not be a fixed response across events, but jointly shaped by…</w:t>
      </w:r>
      <w:r>
        <w:t xml:space="preserve"> </w:t>
      </w:r>
      <w:r>
        <w:t xml:space="preserve">- Given these inconsistencies, diverse stands that may represent greater variation in ecological and evolutionary strategies, may have mechanisms for stable functioning under future droughts.</w:t>
      </w:r>
    </w:p>
    <w:p>
      <w:pPr>
        <w:numPr>
          <w:ilvl w:val="0"/>
          <w:numId w:val="1001"/>
        </w:numPr>
        <w:pStyle w:val="Compact"/>
      </w:pPr>
      <w:r>
        <w:t xml:space="preserve">(BCI light x size interaction in</w:t>
      </w:r>
      <w:r>
        <w:t xml:space="preserve"> </w:t>
      </w:r>
      <w:r>
        <w:t xml:space="preserve">Rüger</w:t>
      </w:r>
      <w:r>
        <w:t xml:space="preserve"> </w:t>
      </w:r>
      <w:r>
        <w:rPr>
          <w:iCs/>
          <w:i/>
        </w:rPr>
        <w:t xml:space="preserve">et al.</w:t>
      </w:r>
      <w:r>
        <w:t xml:space="preserve"> </w:t>
      </w:r>
      <w:r>
        <w:t xml:space="preserve">(2011)</w:t>
      </w:r>
      <w:r>
        <w:t xml:space="preserve">)</w:t>
      </w:r>
    </w:p>
    <w:bookmarkEnd w:id="52"/>
    <w:bookmarkStart w:id="53" w:name="acknowledgements"/>
    <w:p>
      <w:pPr>
        <w:pStyle w:val="Heading1"/>
      </w:pPr>
      <w:r>
        <w:t xml:space="preserve">Acknowledgements</w:t>
      </w:r>
    </w:p>
    <w:p>
      <w:pPr>
        <w:pStyle w:val="FirstParagraph"/>
      </w:pPr>
      <w:r>
        <w:t xml:space="preserve">Huai Kha Khaeng forest monitoring team.</w:t>
      </w:r>
      <w:r>
        <w:br/>
      </w:r>
      <w:r>
        <w:t xml:space="preserve">Ekaphan Kraichak, Kanisorn Chowtiwuttakorn.</w:t>
      </w:r>
      <w:r>
        <w:br/>
      </w:r>
      <w:r>
        <w:t xml:space="preserve">Jose Medina-Vega, Valentine Herrmann, Eugenie Mas.</w:t>
      </w:r>
      <w:r>
        <w:t xml:space="preserve"> </w:t>
      </w:r>
      <w:r>
        <w:t xml:space="preserve">Smithsonian Institution Postdoctoral Fellowship.</w:t>
      </w:r>
      <w:r>
        <w:t xml:space="preserve"> </w:t>
      </w:r>
      <w:r>
        <w:t xml:space="preserve">ForestGEO Analytical Workshop, Asia 2024.</w:t>
      </w:r>
    </w:p>
    <w:bookmarkEnd w:id="53"/>
    <w:bookmarkStart w:id="54" w:name="competing-interests"/>
    <w:p>
      <w:pPr>
        <w:pStyle w:val="Heading1"/>
      </w:pPr>
      <w:r>
        <w:t xml:space="preserve">Competing interests</w:t>
      </w:r>
    </w:p>
    <w:bookmarkEnd w:id="54"/>
    <w:bookmarkStart w:id="55" w:name="author-contributions"/>
    <w:p>
      <w:pPr>
        <w:pStyle w:val="Heading1"/>
      </w:pPr>
      <w:r>
        <w:t xml:space="preserve">Author contributions</w:t>
      </w:r>
    </w:p>
    <w:bookmarkEnd w:id="55"/>
    <w:bookmarkStart w:id="56" w:name="data-availability"/>
    <w:p>
      <w:pPr>
        <w:pStyle w:val="Heading1"/>
      </w:pPr>
      <w:r>
        <w:t xml:space="preserve">Data availability</w:t>
      </w:r>
    </w:p>
    <w:p>
      <w:r>
        <w:br w:type="page"/>
      </w:r>
    </w:p>
    <w:bookmarkEnd w:id="56"/>
    <w:bookmarkStart w:id="116" w:name="references"/>
    <w:p>
      <w:pPr>
        <w:pStyle w:val="Heading1"/>
      </w:pPr>
      <w:r>
        <w:t xml:space="preserve">References</w:t>
      </w:r>
    </w:p>
    <w:bookmarkStart w:id="115" w:name="refs"/>
    <w:bookmarkStart w:id="58" w:name="ref-aguirre-gutiérrez_drier_2019"/>
    <w:p>
      <w:pPr>
        <w:pStyle w:val="Bibliography"/>
      </w:pPr>
      <w:r>
        <w:t xml:space="preserve">Aguirre-Gutiérrez, J., Oliveras, I., Rifai, S., Fauset, S., Adu-Bredu, S., Affum-Baffoe, K.,</w:t>
      </w:r>
      <w:r>
        <w:t xml:space="preserve"> </w:t>
      </w:r>
      <w:r>
        <w:rPr>
          <w:iCs/>
          <w:i/>
        </w:rPr>
        <w:t xml:space="preserve">et al.</w:t>
      </w:r>
      <w:r>
        <w:t xml:space="preserve"> (2019).</w:t>
      </w:r>
      <w:r>
        <w:t xml:space="preserve"> </w:t>
      </w:r>
      <w:hyperlink r:id="rId57">
        <w:r>
          <w:rPr>
            <w:rStyle w:val="Hyperlink"/>
          </w:rPr>
          <w:t xml:space="preserve">Drier tropical forests are susceptible to functional changes in response to a long-term drought</w:t>
        </w:r>
      </w:hyperlink>
      <w:r>
        <w:t xml:space="preserve">.</w:t>
      </w:r>
      <w:r>
        <w:t xml:space="preserve"> </w:t>
      </w:r>
      <w:r>
        <w:rPr>
          <w:iCs/>
          <w:i/>
        </w:rPr>
        <w:t xml:space="preserve">Ecology Letters</w:t>
      </w:r>
      <w:r>
        <w:t xml:space="preserve">, 22, 855–865.</w:t>
      </w:r>
    </w:p>
    <w:bookmarkEnd w:id="58"/>
    <w:bookmarkStart w:id="60" w:name="ref-allen_will_2017"/>
    <w:p>
      <w:pPr>
        <w:pStyle w:val="Bibliography"/>
      </w:pPr>
      <w:r>
        <w:t xml:space="preserve">Allen, K., Dupuy, J.M., Gei, M.G., Hulshof, C., Medvigy, D., Pizano, C.,</w:t>
      </w:r>
      <w:r>
        <w:t xml:space="preserve"> </w:t>
      </w:r>
      <w:r>
        <w:rPr>
          <w:iCs/>
          <w:i/>
        </w:rPr>
        <w:t xml:space="preserve">et al.</w:t>
      </w:r>
      <w:r>
        <w:t xml:space="preserve"> (2017).</w:t>
      </w:r>
      <w:r>
        <w:t xml:space="preserve"> </w:t>
      </w:r>
      <w:hyperlink r:id="rId59">
        <w:r>
          <w:rPr>
            <w:rStyle w:val="Hyperlink"/>
          </w:rPr>
          <w:t xml:space="preserve">Will seasonally dry tropical forests be sensitive or resistant to future changes in rainfall regimes?</w:t>
        </w:r>
      </w:hyperlink>
      <w:r>
        <w:t xml:space="preserve"> </w:t>
      </w:r>
      <w:r>
        <w:rPr>
          <w:iCs/>
          <w:i/>
        </w:rPr>
        <w:t xml:space="preserve">Environmental Research Letters</w:t>
      </w:r>
      <w:r>
        <w:t xml:space="preserve">, 12, 023001.</w:t>
      </w:r>
    </w:p>
    <w:bookmarkEnd w:id="60"/>
    <w:bookmarkStart w:id="62"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1">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2"/>
    <w:bookmarkStart w:id="64" w:name="ref-anderson-teixeira_carbon_2021"/>
    <w:p>
      <w:pPr>
        <w:pStyle w:val="Bibliography"/>
      </w:pPr>
      <w:r>
        <w:t xml:space="preserve">Anderson-Teixeira, K.J., Herrmann, V., Morgan, R.B., Bond-Lamberty, B., Cook-Patton, S.C., Ferson, A.E.,</w:t>
      </w:r>
      <w:r>
        <w:t xml:space="preserve"> </w:t>
      </w:r>
      <w:r>
        <w:rPr>
          <w:iCs/>
          <w:i/>
        </w:rPr>
        <w:t xml:space="preserve">et al.</w:t>
      </w:r>
      <w:r>
        <w:t xml:space="preserve"> (2021).</w:t>
      </w:r>
      <w:r>
        <w:t xml:space="preserve"> </w:t>
      </w:r>
      <w:hyperlink r:id="rId63">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16, 053009.</w:t>
      </w:r>
    </w:p>
    <w:bookmarkEnd w:id="64"/>
    <w:bookmarkStart w:id="66" w:name="ref-anderson-teixeira_carbon_2016"/>
    <w:p>
      <w:pPr>
        <w:pStyle w:val="Bibliography"/>
      </w:pPr>
      <w:r>
        <w:t xml:space="preserve">Anderson-Teixeira, K.J., Wang, M.M.H., McGarvey, J.C. &amp; LeBauer, D.S. (2016).</w:t>
      </w:r>
      <w:r>
        <w:t xml:space="preserve"> </w:t>
      </w:r>
      <w:hyperlink r:id="rId65">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22, 1690–1709.</w:t>
      </w:r>
    </w:p>
    <w:bookmarkEnd w:id="66"/>
    <w:bookmarkStart w:id="68" w:name="ref-bauman_tropical_2022"/>
    <w:p>
      <w:pPr>
        <w:pStyle w:val="Bibliography"/>
      </w:pPr>
      <w:r>
        <w:t xml:space="preserve">Bauman, D., Fortunel, C., Cernusak, L.A., Bentley, L.P., McMahon, S.M., Rifai, S.W.,</w:t>
      </w:r>
      <w:r>
        <w:t xml:space="preserve"> </w:t>
      </w:r>
      <w:r>
        <w:rPr>
          <w:iCs/>
          <w:i/>
        </w:rPr>
        <w:t xml:space="preserve">et al.</w:t>
      </w:r>
      <w:r>
        <w:t xml:space="preserve"> (2022).</w:t>
      </w:r>
      <w:r>
        <w:t xml:space="preserve"> </w:t>
      </w:r>
      <w:hyperlink r:id="rId67">
        <w:r>
          <w:rPr>
            <w:rStyle w:val="Hyperlink"/>
          </w:rPr>
          <w:t xml:space="preserve">Tropical tree growth sensitivity to climate is driven by species intrinsic growth rate and leaf traits</w:t>
        </w:r>
      </w:hyperlink>
      <w:r>
        <w:t xml:space="preserve">.</w:t>
      </w:r>
      <w:r>
        <w:t xml:space="preserve"> </w:t>
      </w:r>
      <w:r>
        <w:rPr>
          <w:iCs/>
          <w:i/>
        </w:rPr>
        <w:t xml:space="preserve">Global Change Biology</w:t>
      </w:r>
      <w:r>
        <w:t xml:space="preserve">, 28, 1414–1432.</w:t>
      </w:r>
    </w:p>
    <w:bookmarkEnd w:id="68"/>
    <w:bookmarkStart w:id="70" w:name="ref-beer_terrestrial_2010"/>
    <w:p>
      <w:pPr>
        <w:pStyle w:val="Bibliography"/>
      </w:pPr>
      <w:r>
        <w:t xml:space="preserve">Beer, C., Reichstein, M., Tomelleri, E., Ciais, P., Jung, M., Carvalhais, N.,</w:t>
      </w:r>
      <w:r>
        <w:t xml:space="preserve"> </w:t>
      </w:r>
      <w:r>
        <w:rPr>
          <w:iCs/>
          <w:i/>
        </w:rPr>
        <w:t xml:space="preserve">et al.</w:t>
      </w:r>
      <w:r>
        <w:t xml:space="preserve"> (2010).</w:t>
      </w:r>
      <w:r>
        <w:t xml:space="preserve"> </w:t>
      </w:r>
      <w:hyperlink r:id="rId69">
        <w:r>
          <w:rPr>
            <w:rStyle w:val="Hyperlink"/>
          </w:rPr>
          <w:t xml:space="preserve">Terrestrial</w:t>
        </w:r>
        <w:r>
          <w:rPr>
            <w:rStyle w:val="Hyperlink"/>
          </w:rPr>
          <w:t xml:space="preserve"> </w:t>
        </w:r>
        <w:r>
          <w:rPr>
            <w:rStyle w:val="Hyperlink"/>
          </w:rPr>
          <w:t xml:space="preserve">Gross Carbon Dioxide Uptake</w:t>
        </w:r>
        <w:r>
          <w:rPr>
            <w:rStyle w:val="Hyperlink"/>
          </w:rPr>
          <w:t xml:space="preserve">:</w:t>
        </w:r>
        <w:r>
          <w:rPr>
            <w:rStyle w:val="Hyperlink"/>
          </w:rPr>
          <w:t xml:space="preserve"> </w:t>
        </w:r>
        <w:r>
          <w:rPr>
            <w:rStyle w:val="Hyperlink"/>
          </w:rPr>
          <w:t xml:space="preserve">Global Distribution</w:t>
        </w:r>
        <w:r>
          <w:rPr>
            <w:rStyle w:val="Hyperlink"/>
          </w:rPr>
          <w:t xml:space="preserve"> </w:t>
        </w:r>
        <w:r>
          <w:rPr>
            <w:rStyle w:val="Hyperlink"/>
          </w:rPr>
          <w:t xml:space="preserve">and</w:t>
        </w:r>
        <w:r>
          <w:rPr>
            <w:rStyle w:val="Hyperlink"/>
          </w:rPr>
          <w:t xml:space="preserve"> </w:t>
        </w:r>
        <w:r>
          <w:rPr>
            <w:rStyle w:val="Hyperlink"/>
          </w:rPr>
          <w:t xml:space="preserve">Covariation</w:t>
        </w:r>
        <w:r>
          <w:rPr>
            <w:rStyle w:val="Hyperlink"/>
          </w:rPr>
          <w:t xml:space="preserve"> </w:t>
        </w:r>
        <w:r>
          <w:rPr>
            <w:rStyle w:val="Hyperlink"/>
          </w:rPr>
          <w:t xml:space="preserve">with</w:t>
        </w:r>
        <w:r>
          <w:rPr>
            <w:rStyle w:val="Hyperlink"/>
          </w:rPr>
          <w:t xml:space="preserve"> </w:t>
        </w:r>
        <w:r>
          <w:rPr>
            <w:rStyle w:val="Hyperlink"/>
          </w:rPr>
          <w:t xml:space="preserve">Climate</w:t>
        </w:r>
      </w:hyperlink>
      <w:r>
        <w:t xml:space="preserve">.</w:t>
      </w:r>
      <w:r>
        <w:t xml:space="preserve"> </w:t>
      </w:r>
      <w:r>
        <w:rPr>
          <w:iCs/>
          <w:i/>
        </w:rPr>
        <w:t xml:space="preserve">Science</w:t>
      </w:r>
      <w:r>
        <w:t xml:space="preserve">, 329, 834–838.</w:t>
      </w:r>
    </w:p>
    <w:bookmarkEnd w:id="70"/>
    <w:bookmarkStart w:id="72" w:name="ref-bennett_larger_2015"/>
    <w:p>
      <w:pPr>
        <w:pStyle w:val="Bibliography"/>
      </w:pPr>
      <w:r>
        <w:t xml:space="preserve">Bennett, A.C., McDowell, N.G., Allen, C.D. &amp; Anderson-Teixeira, K.J. (2015).</w:t>
      </w:r>
      <w:r>
        <w:t xml:space="preserve"> </w:t>
      </w:r>
      <w:hyperlink r:id="rId71">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72"/>
    <w:bookmarkStart w:id="74"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73">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74"/>
    <w:bookmarkStart w:id="76"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75">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76"/>
    <w:bookmarkStart w:id="78"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7">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8"/>
    <w:bookmarkStart w:id="80" w:name="ref-clark_annual_2021"/>
    <w:p>
      <w:pPr>
        <w:pStyle w:val="Bibliography"/>
      </w:pPr>
      <w:r>
        <w:t xml:space="preserve">Clark, D.A., Clark, D.B. &amp; Oberbauer, S.F. (2021).</w:t>
      </w:r>
      <w:r>
        <w:t xml:space="preserve"> </w:t>
      </w:r>
      <w:hyperlink r:id="rId79">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80"/>
    <w:bookmarkStart w:id="82" w:name="ref-clark_annual_2010"/>
    <w:p>
      <w:pPr>
        <w:pStyle w:val="Bibliography"/>
      </w:pPr>
      <w:r>
        <w:t xml:space="preserve">Clark, D.B., Clark, D.A. &amp; Oberbauer, S.F. (2010).</w:t>
      </w:r>
      <w:r>
        <w:t xml:space="preserve"> </w:t>
      </w:r>
      <w:hyperlink r:id="rId81">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82"/>
    <w:bookmarkStart w:id="84" w:name="ref-dahinden_future_2017"/>
    <w:p>
      <w:pPr>
        <w:pStyle w:val="Bibliography"/>
      </w:pPr>
      <w:r>
        <w:t xml:space="preserve">Dahinden, F., Fischer, E.M. &amp; Knutti, R. (2017).</w:t>
      </w:r>
      <w:r>
        <w:t xml:space="preserve"> </w:t>
      </w:r>
      <w:hyperlink r:id="rId83">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84"/>
    <w:bookmarkStart w:id="86" w:name="ref-desouza_drought_2020"/>
    <w:p>
      <w:pPr>
        <w:pStyle w:val="Bibliography"/>
      </w:pPr>
      <w:r>
        <w:t xml:space="preserve">De Souza, B.C., Carvalho, E.C.D., Oliveira, R.S., De Araujo, F.S., De Lima, A.L.A. &amp; Rodal, M.J.N. (2020).</w:t>
      </w:r>
      <w:r>
        <w:t xml:space="preserve"> </w:t>
      </w:r>
      <w:hyperlink r:id="rId85">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6"/>
    <w:bookmarkStart w:id="88" w:name="ref-garcía-cervigón_climate_2020"/>
    <w:p>
      <w:pPr>
        <w:pStyle w:val="Bibliography"/>
      </w:pPr>
      <w:r>
        <w:t xml:space="preserve">García-Cervigón, A.I., Camarero, J.J., Cueva, E., Espinosa, C.I. &amp; Escudero, A. (2020).</w:t>
      </w:r>
      <w:r>
        <w:t xml:space="preserve"> </w:t>
      </w:r>
      <w:hyperlink r:id="rId87">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88"/>
    <w:bookmarkStart w:id="90" w:name="X608d8d4a570d30e5ebf1004023d829f5ff2ec75"/>
    <w:p>
      <w:pPr>
        <w:pStyle w:val="Bibliography"/>
      </w:pPr>
      <w:r>
        <w:t xml:space="preserve">Intergovernmental Panel On Climate Change (Ipcc). (2023).</w:t>
      </w:r>
      <w:r>
        <w:t xml:space="preserve"> </w:t>
      </w:r>
      <w:hyperlink r:id="rId89">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90"/>
    <w:bookmarkStart w:id="92"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91">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92"/>
    <w:bookmarkStart w:id="93"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93"/>
    <w:bookmarkStart w:id="95" w:name="ref-luo_tropical_2022"/>
    <w:p>
      <w:pPr>
        <w:pStyle w:val="Bibliography"/>
      </w:pPr>
      <w:r>
        <w:t xml:space="preserve">Luo, X. &amp; Keenan, T.F. (2022).</w:t>
      </w:r>
      <w:r>
        <w:t xml:space="preserve"> </w:t>
      </w:r>
      <w:hyperlink r:id="rId94">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95"/>
    <w:bookmarkStart w:id="97"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96">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97"/>
    <w:bookmarkStart w:id="98" w:name="ref-muller-landau_metal_2008"/>
    <w:p>
      <w:pPr>
        <w:pStyle w:val="Bibliography"/>
      </w:pPr>
      <w:r>
        <w:t xml:space="preserve">Muller-Landau, H.C. (2008). Metal</w:t>
      </w:r>
      <w:r>
        <w:t xml:space="preserve"> </w:t>
      </w:r>
      <w:r>
        <w:t xml:space="preserve">Band Dendrometer Protocol</w:t>
      </w:r>
      <w:r>
        <w:t xml:space="preserve">.</w:t>
      </w:r>
    </w:p>
    <w:bookmarkEnd w:id="98"/>
    <w:bookmarkStart w:id="99"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99"/>
    <w:bookmarkStart w:id="101" w:name="ref-rüger_growth_2011"/>
    <w:p>
      <w:pPr>
        <w:pStyle w:val="Bibliography"/>
      </w:pPr>
      <w:r>
        <w:t xml:space="preserve">Rüger, N., Berger, U., Hubbell, S.P., Vieilledent, G. &amp; Condit, R. (2011).</w:t>
      </w:r>
      <w:r>
        <w:t xml:space="preserve"> </w:t>
      </w:r>
      <w:hyperlink r:id="rId100">
        <w:r>
          <w:rPr>
            <w:rStyle w:val="Hyperlink"/>
          </w:rPr>
          <w:t xml:space="preserve">Growth</w:t>
        </w:r>
        <w:r>
          <w:rPr>
            <w:rStyle w:val="Hyperlink"/>
          </w:rPr>
          <w:t xml:space="preserve"> </w:t>
        </w:r>
        <w:r>
          <w:rPr>
            <w:rStyle w:val="Hyperlink"/>
          </w:rPr>
          <w:t xml:space="preserve">Strategies</w:t>
        </w:r>
        <w:r>
          <w:rPr>
            <w:rStyle w:val="Hyperlink"/>
          </w:rPr>
          <w:t xml:space="preserve"> </w:t>
        </w:r>
        <w:r>
          <w:rPr>
            <w:rStyle w:val="Hyperlink"/>
          </w:rPr>
          <w:t xml:space="preserve">of</w:t>
        </w:r>
        <w:r>
          <w:rPr>
            <w:rStyle w:val="Hyperlink"/>
          </w:rPr>
          <w:t xml:space="preserve"> </w:t>
        </w:r>
        <w:r>
          <w:rPr>
            <w:rStyle w:val="Hyperlink"/>
          </w:rPr>
          <w:t xml:space="preserve">Tropical Tree Species</w:t>
        </w:r>
        <w:r>
          <w:rPr>
            <w:rStyle w:val="Hyperlink"/>
          </w:rPr>
          <w:t xml:space="preserve">:</w:t>
        </w:r>
        <w:r>
          <w:rPr>
            <w:rStyle w:val="Hyperlink"/>
          </w:rPr>
          <w:t xml:space="preserve"> </w:t>
        </w:r>
        <w:r>
          <w:rPr>
            <w:rStyle w:val="Hyperlink"/>
          </w:rPr>
          <w:t xml:space="preserve">Disentangling Light</w:t>
        </w:r>
        <w:r>
          <w:rPr>
            <w:rStyle w:val="Hyperlink"/>
          </w:rPr>
          <w:t xml:space="preserve"> </w:t>
        </w:r>
        <w:r>
          <w:rPr>
            <w:rStyle w:val="Hyperlink"/>
          </w:rPr>
          <w:t xml:space="preserve">and</w:t>
        </w:r>
        <w:r>
          <w:rPr>
            <w:rStyle w:val="Hyperlink"/>
          </w:rPr>
          <w:t xml:space="preserve"> </w:t>
        </w:r>
        <w:r>
          <w:rPr>
            <w:rStyle w:val="Hyperlink"/>
          </w:rPr>
          <w:t xml:space="preserve">Size Effects</w:t>
        </w:r>
      </w:hyperlink>
      <w:r>
        <w:t xml:space="preserve">.</w:t>
      </w:r>
      <w:r>
        <w:t xml:space="preserve"> </w:t>
      </w:r>
      <w:r>
        <w:rPr>
          <w:iCs/>
          <w:i/>
        </w:rPr>
        <w:t xml:space="preserve">PLoS ONE</w:t>
      </w:r>
      <w:r>
        <w:t xml:space="preserve">, 6, e25330.</w:t>
      </w:r>
    </w:p>
    <w:bookmarkEnd w:id="101"/>
    <w:bookmarkStart w:id="103"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02">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03"/>
    <w:bookmarkStart w:id="105" w:name="ref-trugman_why_2021"/>
    <w:p>
      <w:pPr>
        <w:pStyle w:val="Bibliography"/>
      </w:pPr>
      <w:r>
        <w:t xml:space="preserve">Trugman, A.T., Anderegg, L.D.L., Anderegg, W.R.L., Das, A.J. &amp; Stephenson, N.L. (2021).</w:t>
      </w:r>
      <w:r>
        <w:t xml:space="preserve"> </w:t>
      </w:r>
      <w:hyperlink r:id="rId104">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05"/>
    <w:bookmarkStart w:id="107"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06">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07"/>
    <w:bookmarkStart w:id="109" w:name="ref-vlam_temperature_2014"/>
    <w:p>
      <w:pPr>
        <w:pStyle w:val="Bibliography"/>
      </w:pPr>
      <w:r>
        <w:t xml:space="preserve">Vlam, M., Baker, P.J., Bunyavejchewin, S. &amp; Zuidema, P.A. (2014).</w:t>
      </w:r>
      <w:r>
        <w:t xml:space="preserve"> </w:t>
      </w:r>
      <w:hyperlink r:id="rId108">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09"/>
    <w:bookmarkStart w:id="111" w:name="ref-williams_deciduousness_2008"/>
    <w:p>
      <w:pPr>
        <w:pStyle w:val="Bibliography"/>
      </w:pPr>
      <w:r>
        <w:t xml:space="preserve">Williams, L.J., Bunyavejchewin, S. &amp; Baker, P.J. (2008).</w:t>
      </w:r>
      <w:r>
        <w:t xml:space="preserve"> </w:t>
      </w:r>
      <w:hyperlink r:id="rId110">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11"/>
    <w:bookmarkStart w:id="112"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12"/>
    <w:bookmarkStart w:id="114"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13">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14"/>
    <w:bookmarkEnd w:id="115"/>
    <w:bookmarkEnd w:id="116"/>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hyperlink" Id="rId110" Target="https://doi.org/10.1007/s00442-007-0938-1" TargetMode="External" /><Relationship Type="http://schemas.openxmlformats.org/officeDocument/2006/relationships/hyperlink" Id="rId108" Target="https://doi.org/10.1007/s00442-013-2846-x" TargetMode="External" /><Relationship Type="http://schemas.openxmlformats.org/officeDocument/2006/relationships/hyperlink" Id="rId85" Target="https://doi.org/10.1007/s00442-020-04760-3" TargetMode="External" /><Relationship Type="http://schemas.openxmlformats.org/officeDocument/2006/relationships/hyperlink" Id="rId104" Target="https://doi.org/10.1016/j.tree.2021.02.001" TargetMode="External" /><Relationship Type="http://schemas.openxmlformats.org/officeDocument/2006/relationships/hyperlink" Id="rId89" Target="https://doi.org/10.1017/9781009157896" TargetMode="External" /><Relationship Type="http://schemas.openxmlformats.org/officeDocument/2006/relationships/hyperlink" Id="rId79" Target="https://doi.org/10.1029/2021JG006557" TargetMode="External" /><Relationship Type="http://schemas.openxmlformats.org/officeDocument/2006/relationships/hyperlink" Id="rId71" Target="https://doi.org/10.1038/nplants.2015.139" TargetMode="External" /><Relationship Type="http://schemas.openxmlformats.org/officeDocument/2006/relationships/hyperlink" Id="rId94" Target="https://doi.org/10.1038/s41467-022-28824-5" TargetMode="External" /><Relationship Type="http://schemas.openxmlformats.org/officeDocument/2006/relationships/hyperlink" Id="rId73" Target="https://doi.org/10.1038/s41558-023-01776-4" TargetMode="External" /><Relationship Type="http://schemas.openxmlformats.org/officeDocument/2006/relationships/hyperlink" Id="rId113" Target="https://doi.org/10.1038/s41561-022-00911-8" TargetMode="External" /><Relationship Type="http://schemas.openxmlformats.org/officeDocument/2006/relationships/hyperlink" Id="rId59" Target="https://doi.org/10.1088/1748-9326/aa5968" TargetMode="External" /><Relationship Type="http://schemas.openxmlformats.org/officeDocument/2006/relationships/hyperlink" Id="rId83" Target="https://doi.org/10.1088/1748-9326/aa75d7" TargetMode="External" /><Relationship Type="http://schemas.openxmlformats.org/officeDocument/2006/relationships/hyperlink" Id="rId63" Target="https://doi.org/10.1088/1748-9326/abed01" TargetMode="External" /><Relationship Type="http://schemas.openxmlformats.org/officeDocument/2006/relationships/hyperlink" Id="rId57" Target="https://doi.org/10.1111/ele.13243" TargetMode="External" /><Relationship Type="http://schemas.openxmlformats.org/officeDocument/2006/relationships/hyperlink" Id="rId61" Target="https://doi.org/10.1111/gcb.12712" TargetMode="External" /><Relationship Type="http://schemas.openxmlformats.org/officeDocument/2006/relationships/hyperlink" Id="rId65" Target="https://doi.org/10.1111/gcb.13226" TargetMode="External" /><Relationship Type="http://schemas.openxmlformats.org/officeDocument/2006/relationships/hyperlink" Id="rId102" Target="https://doi.org/10.1111/gcb.14747" TargetMode="External" /><Relationship Type="http://schemas.openxmlformats.org/officeDocument/2006/relationships/hyperlink" Id="rId67" Target="https://doi.org/10.1111/gcb.15982" TargetMode="External" /><Relationship Type="http://schemas.openxmlformats.org/officeDocument/2006/relationships/hyperlink" Id="rId81" Target="https://doi.org/10.1111/j.1365-2486.2009.02004.x" TargetMode="External" /><Relationship Type="http://schemas.openxmlformats.org/officeDocument/2006/relationships/hyperlink" Id="rId87" Target="https://doi.org/10.1111/jvs.12840" TargetMode="External" /><Relationship Type="http://schemas.openxmlformats.org/officeDocument/2006/relationships/hyperlink" Id="rId96" Target="https://doi.org/10.1111/nph.16996" TargetMode="External" /><Relationship Type="http://schemas.openxmlformats.org/officeDocument/2006/relationships/hyperlink" Id="rId91" Target="https://doi.org/10.1111/nph.17187" TargetMode="External" /><Relationship Type="http://schemas.openxmlformats.org/officeDocument/2006/relationships/hyperlink" Id="rId77" Target="https://doi.org/10.1111/nph.17464" TargetMode="External" /><Relationship Type="http://schemas.openxmlformats.org/officeDocument/2006/relationships/hyperlink" Id="rId106" Target="https://doi.org/10.1111/nph.18539" TargetMode="External" /><Relationship Type="http://schemas.openxmlformats.org/officeDocument/2006/relationships/hyperlink" Id="rId69" Target="https://doi.org/10.1126/science.1184984" TargetMode="External" /><Relationship Type="http://schemas.openxmlformats.org/officeDocument/2006/relationships/hyperlink" Id="rId75" Target="https://doi.org/10.1146/annurev-earth-082517-010235" TargetMode="External" /><Relationship Type="http://schemas.openxmlformats.org/officeDocument/2006/relationships/hyperlink" Id="rId100" Target="https://doi.org/10.1371/journal.pone.0025330" TargetMode="External" /><Relationship Type="http://schemas.openxmlformats.org/officeDocument/2006/relationships/hyperlink" Id="rId29" Target="https://github.com/forestgeo/growth-precip-thailand/issues/10" TargetMode="External" /><Relationship Type="http://schemas.openxmlformats.org/officeDocument/2006/relationships/hyperlink" Id="rId33" Target="https://github.com/forestgeo/growth-precip-thailand/issues/11" TargetMode="External" /><Relationship Type="http://schemas.openxmlformats.org/officeDocument/2006/relationships/hyperlink" Id="rId39" Target="https://github.com/forestgeo/growth-precip-thailand/issues/12" TargetMode="External" /><Relationship Type="http://schemas.openxmlformats.org/officeDocument/2006/relationships/hyperlink" Id="rId44" Target="https://github.com/forestgeo/growth-precip-thailand/issues/13" TargetMode="External" /><Relationship Type="http://schemas.openxmlformats.org/officeDocument/2006/relationships/hyperlink" Id="rId49"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10" Target="https://doi.org/10.1007/s00442-007-0938-1" TargetMode="External" /><Relationship Type="http://schemas.openxmlformats.org/officeDocument/2006/relationships/hyperlink" Id="rId108" Target="https://doi.org/10.1007/s00442-013-2846-x" TargetMode="External" /><Relationship Type="http://schemas.openxmlformats.org/officeDocument/2006/relationships/hyperlink" Id="rId85" Target="https://doi.org/10.1007/s00442-020-04760-3" TargetMode="External" /><Relationship Type="http://schemas.openxmlformats.org/officeDocument/2006/relationships/hyperlink" Id="rId104" Target="https://doi.org/10.1016/j.tree.2021.02.001" TargetMode="External" /><Relationship Type="http://schemas.openxmlformats.org/officeDocument/2006/relationships/hyperlink" Id="rId89" Target="https://doi.org/10.1017/9781009157896" TargetMode="External" /><Relationship Type="http://schemas.openxmlformats.org/officeDocument/2006/relationships/hyperlink" Id="rId79" Target="https://doi.org/10.1029/2021JG006557" TargetMode="External" /><Relationship Type="http://schemas.openxmlformats.org/officeDocument/2006/relationships/hyperlink" Id="rId71" Target="https://doi.org/10.1038/nplants.2015.139" TargetMode="External" /><Relationship Type="http://schemas.openxmlformats.org/officeDocument/2006/relationships/hyperlink" Id="rId94" Target="https://doi.org/10.1038/s41467-022-28824-5" TargetMode="External" /><Relationship Type="http://schemas.openxmlformats.org/officeDocument/2006/relationships/hyperlink" Id="rId73" Target="https://doi.org/10.1038/s41558-023-01776-4" TargetMode="External" /><Relationship Type="http://schemas.openxmlformats.org/officeDocument/2006/relationships/hyperlink" Id="rId113" Target="https://doi.org/10.1038/s41561-022-00911-8" TargetMode="External" /><Relationship Type="http://schemas.openxmlformats.org/officeDocument/2006/relationships/hyperlink" Id="rId59" Target="https://doi.org/10.1088/1748-9326/aa5968" TargetMode="External" /><Relationship Type="http://schemas.openxmlformats.org/officeDocument/2006/relationships/hyperlink" Id="rId83" Target="https://doi.org/10.1088/1748-9326/aa75d7" TargetMode="External" /><Relationship Type="http://schemas.openxmlformats.org/officeDocument/2006/relationships/hyperlink" Id="rId63" Target="https://doi.org/10.1088/1748-9326/abed01" TargetMode="External" /><Relationship Type="http://schemas.openxmlformats.org/officeDocument/2006/relationships/hyperlink" Id="rId57" Target="https://doi.org/10.1111/ele.13243" TargetMode="External" /><Relationship Type="http://schemas.openxmlformats.org/officeDocument/2006/relationships/hyperlink" Id="rId61" Target="https://doi.org/10.1111/gcb.12712" TargetMode="External" /><Relationship Type="http://schemas.openxmlformats.org/officeDocument/2006/relationships/hyperlink" Id="rId65" Target="https://doi.org/10.1111/gcb.13226" TargetMode="External" /><Relationship Type="http://schemas.openxmlformats.org/officeDocument/2006/relationships/hyperlink" Id="rId102" Target="https://doi.org/10.1111/gcb.14747" TargetMode="External" /><Relationship Type="http://schemas.openxmlformats.org/officeDocument/2006/relationships/hyperlink" Id="rId67" Target="https://doi.org/10.1111/gcb.15982" TargetMode="External" /><Relationship Type="http://schemas.openxmlformats.org/officeDocument/2006/relationships/hyperlink" Id="rId81" Target="https://doi.org/10.1111/j.1365-2486.2009.02004.x" TargetMode="External" /><Relationship Type="http://schemas.openxmlformats.org/officeDocument/2006/relationships/hyperlink" Id="rId87" Target="https://doi.org/10.1111/jvs.12840" TargetMode="External" /><Relationship Type="http://schemas.openxmlformats.org/officeDocument/2006/relationships/hyperlink" Id="rId96" Target="https://doi.org/10.1111/nph.16996" TargetMode="External" /><Relationship Type="http://schemas.openxmlformats.org/officeDocument/2006/relationships/hyperlink" Id="rId91" Target="https://doi.org/10.1111/nph.17187" TargetMode="External" /><Relationship Type="http://schemas.openxmlformats.org/officeDocument/2006/relationships/hyperlink" Id="rId77" Target="https://doi.org/10.1111/nph.17464" TargetMode="External" /><Relationship Type="http://schemas.openxmlformats.org/officeDocument/2006/relationships/hyperlink" Id="rId106" Target="https://doi.org/10.1111/nph.18539" TargetMode="External" /><Relationship Type="http://schemas.openxmlformats.org/officeDocument/2006/relationships/hyperlink" Id="rId69" Target="https://doi.org/10.1126/science.1184984" TargetMode="External" /><Relationship Type="http://schemas.openxmlformats.org/officeDocument/2006/relationships/hyperlink" Id="rId75" Target="https://doi.org/10.1146/annurev-earth-082517-010235" TargetMode="External" /><Relationship Type="http://schemas.openxmlformats.org/officeDocument/2006/relationships/hyperlink" Id="rId100" Target="https://doi.org/10.1371/journal.pone.0025330" TargetMode="External" /><Relationship Type="http://schemas.openxmlformats.org/officeDocument/2006/relationships/hyperlink" Id="rId29" Target="https://github.com/forestgeo/growth-precip-thailand/issues/10" TargetMode="External" /><Relationship Type="http://schemas.openxmlformats.org/officeDocument/2006/relationships/hyperlink" Id="rId33" Target="https://github.com/forestgeo/growth-precip-thailand/issues/11" TargetMode="External" /><Relationship Type="http://schemas.openxmlformats.org/officeDocument/2006/relationships/hyperlink" Id="rId39" Target="https://github.com/forestgeo/growth-precip-thailand/issues/12" TargetMode="External" /><Relationship Type="http://schemas.openxmlformats.org/officeDocument/2006/relationships/hyperlink" Id="rId44" Target="https://github.com/forestgeo/growth-precip-thailand/issues/13" TargetMode="External" /><Relationship Type="http://schemas.openxmlformats.org/officeDocument/2006/relationships/hyperlink" Id="rId49"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2025-03-31T19:31:17Z</dcterms:created>
  <dcterms:modified xsi:type="dcterms:W3CDTF">2025-03-31T19:31:17Z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