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7.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6"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6"/>
    <w:bookmarkStart w:id="35"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8" name="Picture"/>
            <a:graphic>
              <a:graphicData uri="http://schemas.openxmlformats.org/drawingml/2006/picture">
                <pic:pic>
                  <pic:nvPicPr>
                    <pic:cNvPr descr="display/Fig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0">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2" name="Picture"/>
            <a:graphic>
              <a:graphicData uri="http://schemas.openxmlformats.org/drawingml/2006/picture">
                <pic:pic>
                  <pic:nvPicPr>
                    <pic:cNvPr descr="display/Fig2.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4">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5"/>
    <w:bookmarkStart w:id="52" w:name="results"/>
    <w:p>
      <w:pPr>
        <w:pStyle w:val="Heading1"/>
      </w:pPr>
      <w:r>
        <w:t xml:space="preserve">Results</w:t>
      </w:r>
    </w:p>
    <w:bookmarkStart w:id="36"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6"/>
    <w:bookmarkStart w:id="41"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8" name="Picture"/>
            <a:graphic>
              <a:graphicData uri="http://schemas.openxmlformats.org/drawingml/2006/picture">
                <pic:pic>
                  <pic:nvPicPr>
                    <pic:cNvPr descr="display/Fig3.png" id="39"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0">
        <w:r>
          <w:rPr>
            <w:rStyle w:val="Hyperlink"/>
          </w:rPr>
          <w:t xml:space="preserve">https://github.com/forestgeo/growth-precip-thailand/issues/12</w:t>
        </w:r>
      </w:hyperlink>
    </w:p>
    <w:bookmarkEnd w:id="41"/>
    <w:bookmarkStart w:id="42"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2"/>
    <w:bookmarkStart w:id="51"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4" name="Picture"/>
            <a:graphic>
              <a:graphicData uri="http://schemas.openxmlformats.org/drawingml/2006/picture">
                <pic:pic>
                  <pic:nvPicPr>
                    <pic:cNvPr descr="display/Fig4.png" id="45"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6">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8" name="Picture"/>
            <a:graphic>
              <a:graphicData uri="http://schemas.openxmlformats.org/drawingml/2006/picture">
                <pic:pic>
                  <pic:nvPicPr>
                    <pic:cNvPr descr="display/Fig5.png" id="49" name="Picture"/>
                    <pic:cNvPicPr>
                      <a:picLocks noChangeArrowheads="1" noChangeAspect="1"/>
                    </pic:cNvPicPr>
                  </pic:nvPicPr>
                  <pic:blipFill>
                    <a:blip r:embed="rId47"/>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0">
        <w:r>
          <w:rPr>
            <w:rStyle w:val="Hyperlink"/>
          </w:rPr>
          <w:t xml:space="preserve">https://github.com/forestgeo/growth-precip-thailand/issues/14</w:t>
        </w:r>
      </w:hyperlink>
    </w:p>
    <w:bookmarkEnd w:id="51"/>
    <w:bookmarkEnd w:id="52"/>
    <w:bookmarkStart w:id="53"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3"/>
    <w:bookmarkStart w:id="54"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Jos'{e} Medina-Vega, Valentine Herrmann and Eugenie Mas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4"/>
    <w:bookmarkStart w:id="142" w:name="references"/>
    <w:p>
      <w:pPr>
        <w:pStyle w:val="Heading1"/>
      </w:pPr>
      <w:r>
        <w:t xml:space="preserve">References</w:t>
      </w:r>
    </w:p>
    <w:bookmarkStart w:id="141" w:name="refs"/>
    <w:bookmarkStart w:id="5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6"/>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X608d8d4a570d30e5ebf1004023d829f5ff2ec75"/>
    <w:p>
      <w:pPr>
        <w:pStyle w:val="Bibliography"/>
      </w:pPr>
      <w:r>
        <w:t xml:space="preserve">Intergovernmental Panel On Climate Change (Ipcc). (2023).</w:t>
      </w:r>
      <w:r>
        <w:t xml:space="preserve"> </w:t>
      </w:r>
      <w:hyperlink r:id="rId10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1"/>
    <w:bookmarkStart w:id="10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3"/>
    <w:bookmarkStart w:id="10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4"/>
    <w:bookmarkStart w:id="106" w:name="ref-liu_drought_2022"/>
    <w:p>
      <w:pPr>
        <w:pStyle w:val="Bibliography"/>
      </w:pPr>
      <w:r>
        <w:t xml:space="preserve">Liu, D., Wang, T., Peñuelas, J. &amp; Piao, S. (2022).</w:t>
      </w:r>
      <w:r>
        <w:t xml:space="preserve"> </w:t>
      </w:r>
      <w:hyperlink r:id="rId10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7">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8"/>
    <w:bookmarkStart w:id="120" w:name="ref-trugman_why_2021"/>
    <w:p>
      <w:pPr>
        <w:pStyle w:val="Bibliography"/>
      </w:pPr>
      <w:r>
        <w:t xml:space="preserve">Trugman, A.T., Anderegg, L.D.L., Anderegg, W.R.L., Das, A.J. &amp; Stephenson, N.L. (2021).</w:t>
      </w:r>
      <w:r>
        <w:t xml:space="preserve"> </w:t>
      </w:r>
      <w:hyperlink r:id="rId11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0"/>
    <w:bookmarkStart w:id="122" w:name="ref-vasey_intraspecific_2022"/>
    <w:p>
      <w:pPr>
        <w:pStyle w:val="Bibliography"/>
      </w:pPr>
      <w:r>
        <w:t xml:space="preserve">Vasey, G.L., Weisberg, P.J. &amp; Urza, A.K. (2022).</w:t>
      </w:r>
      <w:r>
        <w:t xml:space="preserve"> </w:t>
      </w:r>
      <w:hyperlink r:id="rId12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2"/>
    <w:bookmarkStart w:id="12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3"/>
    <w:bookmarkStart w:id="125" w:name="ref-vicente-serrano_multiscalar_2010"/>
    <w:p>
      <w:pPr>
        <w:pStyle w:val="Bibliography"/>
      </w:pPr>
      <w:r>
        <w:t xml:space="preserve">Vicente-Serrano, S.M., Beguería, S. &amp; López-Moreno, J.I. (2010).</w:t>
      </w:r>
      <w:r>
        <w:t xml:space="preserve"> </w:t>
      </w:r>
      <w:hyperlink r:id="rId12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5"/>
    <w:bookmarkStart w:id="127" w:name="ref-vico_how_2017a"/>
    <w:p>
      <w:pPr>
        <w:pStyle w:val="Bibliography"/>
      </w:pPr>
      <w:r>
        <w:t xml:space="preserve">Vico, G., Dralle, D., Feng, X., Thompson, S. &amp; Manzoni, S. (2017).</w:t>
      </w:r>
      <w:r>
        <w:t xml:space="preserve"> </w:t>
      </w:r>
      <w:hyperlink r:id="rId12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7"/>
    <w:bookmarkStart w:id="12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9"/>
    <w:bookmarkStart w:id="131" w:name="ref-vlam_temperature_2014"/>
    <w:p>
      <w:pPr>
        <w:pStyle w:val="Bibliography"/>
      </w:pPr>
      <w:r>
        <w:t xml:space="preserve">Vlam, M., Baker, P.J., Bunyavejchewin, S. &amp; Zuidema, P.A. (2014).</w:t>
      </w:r>
      <w:r>
        <w:t xml:space="preserve"> </w:t>
      </w:r>
      <w:hyperlink r:id="rId13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1"/>
    <w:bookmarkStart w:id="133" w:name="ref-williams_deciduousness_2008"/>
    <w:p>
      <w:pPr>
        <w:pStyle w:val="Bibliography"/>
      </w:pPr>
      <w:r>
        <w:t xml:space="preserve">Williams, L.J., Bunyavejchewin, S. &amp; Baker, P.J. (2008).</w:t>
      </w:r>
      <w:r>
        <w:t xml:space="preserve"> </w:t>
      </w:r>
      <w:hyperlink r:id="rId13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3"/>
    <w:bookmarkStart w:id="13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4"/>
    <w:bookmarkStart w:id="13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6"/>
    <w:bookmarkStart w:id="138" w:name="ref-zuleta_droughtinduced_2017"/>
    <w:p>
      <w:pPr>
        <w:pStyle w:val="Bibliography"/>
      </w:pPr>
      <w:r>
        <w:t xml:space="preserve">Zuleta, D., Duque, A., Cardenas, D., Muller-Landau, H.C. &amp; Davies, S.J. (2017).</w:t>
      </w:r>
      <w:r>
        <w:t xml:space="preserve"> </w:t>
      </w:r>
      <w:hyperlink r:id="rId13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8"/>
    <w:bookmarkStart w:id="140" w:name="ref-zweifel_are_2016"/>
    <w:p>
      <w:pPr>
        <w:pStyle w:val="Bibliography"/>
      </w:pPr>
      <w:r>
        <w:t xml:space="preserve">Zweifel, R., Haeni, M., Buchmann, N. &amp; Eugster, W. (2016).</w:t>
      </w:r>
      <w:r>
        <w:t xml:space="preserve"> </w:t>
      </w:r>
      <w:hyperlink r:id="rId139">
        <w:r>
          <w:rPr>
            <w:rStyle w:val="Hyperlink"/>
          </w:rPr>
          <w:t xml:space="preserve">Are trees able to grow in periods of stem shrinkage?</w:t>
        </w:r>
      </w:hyperlink>
      <w:r>
        <w:t xml:space="preserve"> </w:t>
      </w:r>
      <w:r>
        <w:rPr>
          <w:iCs/>
          <w:i/>
        </w:rPr>
        <w:t xml:space="preserve">New Phytologist</w:t>
      </w:r>
      <w:r>
        <w:t xml:space="preserve">, 211, 839–849.</w:t>
      </w:r>
    </w:p>
    <w:bookmarkEnd w:id="140"/>
    <w:bookmarkEnd w:id="141"/>
    <w:bookmarkEnd w:id="14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2025-04-03T18:13:22Z</dcterms:created>
  <dcterms:modified xsi:type="dcterms:W3CDTF">2025-04-03T18:13:22Z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