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4Thai Long-Term Forest Ecological Research, Kasetsart University, Bangkok, Thailand</w:t>
      </w:r>
      <w:r>
        <w:br/>
      </w:r>
      <w:r>
        <w:rPr>
          <w:vertAlign w:val="superscript"/>
        </w:rPr>
        <w:t xml:space="preserve">5</w:t>
      </w:r>
      <w:r>
        <w:t xml:space="preserve">5Department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5200</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two climatically distinct droughts.</w:t>
      </w:r>
      <w:r>
        <w:t xml:space="preserve"> </w:t>
      </w:r>
      <w:r>
        <w:t xml:space="preserve">Species and individuals exhibited a wide range of growth responses within each drought, and these responses differed in intensity and affect between the two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our ability to predict drought impacts on tree woody growth and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have very different effects on tree growth, especially in seasonal forests that have evolved phenological strategies to handle regular periods of climatic stress</w:t>
      </w:r>
      <w:r>
        <w:t xml:space="preserve"> </w:t>
      </w:r>
      <w:r>
        <w:t xml:space="preserve">(Albert</w:t>
      </w:r>
      <w:r>
        <w:t xml:space="preserve"> </w:t>
      </w:r>
      <w:r>
        <w:rPr>
          <w:iCs/>
          <w:i/>
        </w:rPr>
        <w:t xml:space="preserve">et al.</w:t>
      </w:r>
      <w:r>
        <w:t xml:space="preserve"> </w:t>
      </w:r>
      <w:r>
        <w:t xml:space="preserve">2019)</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topographic positions)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 or acclimatized</w:t>
      </w:r>
      <w:r>
        <w:t xml:space="preserve"> </w:t>
      </w:r>
      <w:r>
        <w:t xml:space="preserve">(</w:t>
      </w:r>
      <w:r>
        <w:rPr>
          <w:bCs/>
          <w:b/>
        </w:rPr>
        <w:t xml:space="preserve">refs?</w:t>
      </w:r>
      <w:r>
        <w:t xml:space="preserve">)</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 With data on 1820 trees across 30 species we built Bayesian regression models in a causal modelling framework to account for potential confounding relationships among the variables. 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a mean annual precipitation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focused on 30 of the most abundant species in the plot.</w:t>
      </w:r>
      <w:r>
        <w:br/>
      </w:r>
      <w:r>
        <w:t xml:space="preserve">Analysis of long-term tree-ring data shows that interannual variation tree growth at HKK is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conducted quality control on the dataset, removing measurements that appeared likely to be data entry errors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spanning missing values for</w:t>
      </w:r>
      <w:r>
        <w:t xml:space="preserve"> </w:t>
      </w:r>
      <m:oMath>
        <m:sSub>
          <m:e>
            <m:r>
              <m:t>d</m:t>
            </m:r>
          </m:e>
          <m:sub>
            <m:r>
              <m:t>t</m:t>
            </m:r>
            <m:r>
              <m:rPr>
                <m:sty m:val="p"/>
              </m:rPr>
              <m:t>−</m:t>
            </m:r>
            <m:r>
              <m:t>1</m:t>
            </m:r>
          </m:sub>
        </m:sSub>
      </m:oMath>
      <w:r>
        <w:t xml:space="preserve">.</w:t>
      </w:r>
      <w:r>
        <w:t xml:space="preserve"> </w:t>
      </w:r>
      <w:r>
        <w:t xml:space="preserve">We also excluded large measurement outliers (&gt; 3 standard deviations from the mean increment across all observations).</w:t>
      </w:r>
      <w:r>
        <w:t xml:space="preserve"> </w:t>
      </w:r>
      <w:r>
        <w:t xml:space="preserve">Diameter tape measurements themselves are not precise enough for calculating drought sensitivity; error for each tape measure is 1 mm, error for growth is at least 2 mm.</w:t>
      </w:r>
      <w:r>
        <w:t xml:space="preserve"> </w:t>
      </w:r>
      <w:r>
        <w:t xml:space="preserve">In comparison, median annual growth across trees in HKK is ~1.4 mm and calculating deviation from annual growth needs sub-mm precision.</w:t>
      </w:r>
      <w:r>
        <w:t xml:space="preserve"> </w:t>
      </w:r>
      <w:r>
        <w:t xml:space="preserve">However, tape measurements to flag likely errors in the dendrometer dataset.</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Both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The drought conditions in 2020 were not associated with an El Niño event.</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SPEI &lt; -1 also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p>
    <w:p>
      <w:pPr>
        <w:pStyle w:val="BodyText"/>
      </w:pPr>
      <w:r>
        <w:t xml:space="preserve">To characterise the two focal droughts, we used data from a weather station near the plot and publicly available climate data for the region.</w:t>
      </w:r>
      <w:r>
        <w:t xml:space="preserve"> </w:t>
      </w:r>
      <w:r>
        <w:t xml:space="preserve"> </w:t>
      </w:r>
      <w:r>
        <w:t xml:space="preserve">We used daily weather data obtained from remotely sensed data sources CHIRPS and ERA5Land to calculate daily maximum temperature, total precipitation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 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(TWI) for an expectation of the water availability across space based on the total upslope area and the slope at the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As an alternate measure of water availability, we also calculated Topographic Position Index (TPI) based on the concavity/convexity of a location.</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(CII), an ordinal categorical variable from 1 to 5 (least to most exposed) measured at each dendroband census.</w:t>
      </w:r>
    </w:p>
    <w:p>
      <w:pPr>
        <w:pStyle w:val="BodyText"/>
      </w:pPr>
      <w:r>
        <w:t xml:space="preserve">We assigned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species deciduousness as the mean over trees of the proportion of crown leaf loss at maximum, with a score ranging from 0 to 4 where 0 is most evergreen and 4 is most deciduous.</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using the duration of time spent at maximum crown loss as an alternative measure of deciduousness.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data for each drought year by fitting separate models.</w:t>
      </w:r>
      <w:r>
        <w:t xml:space="preserve"> </w:t>
      </w:r>
      <w:r>
        <w:t xml:space="preserve">We fit alternative models for sensitivty including a null model with just species random effects, a model including only fixed effects of species deciduousness and habitat wetness and a model including size (DBH), light environment (CII) and habitat wetness as well as species random effects on all these.</w:t>
      </w:r>
      <w:r>
        <w:br/>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climatic and temporal characteristics, with 2010 primarily a dry season drought, 2015 a wet-season drought and 2020 showing mixed characteristics (Table 1, Fig 1).</w:t>
      </w:r>
      <w:r>
        <w:t xml:space="preserve"> </w:t>
      </w:r>
      <w:r>
        <w:t xml:space="preserve">The 2010 drought peaked between February and May (dry season and beginning of wet season), with 1-month SPEI values below -1 and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monthly mean temperatures (max anomaly +1.5 SD), and monthly maximum VPD (max anomaly +2 SD).</w:t>
      </w:r>
      <w:r>
        <w:t xml:space="preserve"> </w:t>
      </w:r>
      <w:r>
        <w:t xml:space="preserve">1-month SPEI was &lt;-1 in May and June, reaching -2 in May, the lowest in the the entire dendroband census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r>
        <w:t xml:space="preserve"> </w:t>
      </w:r>
      <w:r>
        <w:t xml:space="preserve">In 2020, meteorological anomalied were pronounced both in the dry and wet seasons, including maximum temperature (max anomaly</w:t>
      </w:r>
      <w:r>
        <w:t xml:space="preserve"> </w:t>
      </w:r>
      <w:r>
        <w:rPr>
          <w:bCs/>
          <w:b/>
        </w:rPr>
        <w:t xml:space="preserve">&gt; 2</w:t>
      </w:r>
      <w:r>
        <w:t xml:space="preserve"> </w:t>
      </w:r>
      <w:r>
        <w:t xml:space="preserve">SD) and VPD (max anomaly</w:t>
      </w:r>
      <w:r>
        <w:t xml:space="preserve"> </w:t>
      </w:r>
      <w:r>
        <w:rPr>
          <w:bCs/>
          <w:b/>
        </w:rPr>
        <w:t xml:space="preserve">&gt; 2</w:t>
      </w:r>
      <w:r>
        <w:t xml:space="preserve"> </w:t>
      </w:r>
      <w:r>
        <w:t xml:space="preserve">SD).</w:t>
      </w:r>
      <w:r>
        <w:t xml:space="preserve"> </w:t>
      </w:r>
      <w:r>
        <w:t xml:space="preserve">1- to 6-month SPEI values reached minima ~2 in February, indicative of borderline severe drought.</w:t>
      </w:r>
      <w:r>
        <w:t xml:space="preserve"> </w:t>
      </w:r>
      <w:r>
        <w:t xml:space="preserve">12-month SPEI showed severe to moderate drought conditions from January to August, spanning both dry and wet seasons.</w:t>
      </w:r>
    </w:p>
    <w:bookmarkEnd w:id="37"/>
    <w:bookmarkStart w:id="38" w:name="growth-responses-to-drought"/>
    <w:p>
      <w:pPr>
        <w:pStyle w:val="Heading2"/>
      </w:pPr>
      <w:r>
        <w:t xml:space="preserve">Growth responses to drought</w:t>
      </w:r>
    </w:p>
    <w:p>
      <w:pPr>
        <w:pStyle w:val="FirstParagraph"/>
      </w:pPr>
      <w:r>
        <w:t xml:space="preserve">Median annual growth rate across all years of measurement for the whole plot was 1.73</w:t>
      </w:r>
      <w:r>
        <w:t xml:space="preserve"> </w:t>
      </w:r>
      <m:oMath>
        <m:r>
          <m:rPr>
            <m:sty m:val="p"/>
          </m:rPr>
          <m:t>±</m:t>
        </m:r>
      </m:oMath>
      <w:r>
        <w:t xml:space="preserve"> </w:t>
      </w:r>
      <w:r>
        <w:t xml:space="preserve">2.79 mm.</w:t>
      </w:r>
      <w:r>
        <w:t xml:space="preserve"> </w:t>
      </w:r>
      <w:r>
        <w:t xml:space="preserve">In the 2010 drought, the median annual increment was 1.5 mm, 13.33% lower than the median across all years.</w:t>
      </w:r>
      <w:r>
        <w:t xml:space="preserve"> </w:t>
      </w:r>
      <w:r>
        <w:t xml:space="preserve">In the 2020 drought, the median annual increment was 1.28 mm, 26.3% lower than the median across all years.</w:t>
      </w:r>
      <w:r>
        <w:t xml:space="preserve"> </w:t>
      </w:r>
      <w:r>
        <w:t xml:space="preserve">The drought year 2015 had the lowest median annual increment 0.82 mm, 52.68% lower than the median across all years.</w:t>
      </w:r>
      <w:r>
        <w:t xml:space="preserve"> </w:t>
      </w:r>
      <w:r>
        <w:t xml:space="preserve">On average, trees had negative drought sensitivities during drought years,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in 2015 was -0.55</w:t>
      </w:r>
      <w:r>
        <w:t xml:space="preserve"> </w:t>
      </w:r>
      <m:oMath>
        <m:r>
          <m:rPr>
            <m:sty m:val="p"/>
          </m:rPr>
          <m:t>±</m:t>
        </m:r>
      </m:oMath>
      <w:r>
        <w:t xml:space="preserve"> </w:t>
      </w:r>
      <w:r>
        <w:t xml:space="preserve">0.98 and in 2020 was -0.3</w:t>
      </w:r>
      <w:r>
        <w:t xml:space="preserve"> </w:t>
      </w:r>
      <m:oMath>
        <m:r>
          <m:rPr>
            <m:sty m:val="p"/>
          </m:rPr>
          <m:t>±</m:t>
        </m:r>
      </m:oMath>
      <w:r>
        <w:t xml:space="preserve"> </w:t>
      </w:r>
      <w:r>
        <w:t xml:space="preserve">1.1.</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While median species responses to the 2010 and 2020 droughts were variable, all species had lower median increment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r>
        <w:t xml:space="preserve"> </w:t>
      </w:r>
      <w:r>
        <w:t xml:space="preserve">In 2020, sensitivities ranged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Predicted sensitivities from intercept-only models with a species random effect showed heterogenous sensitivities of deciduous and evergreen species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The test of whether individual trees responded similarly to the three drought events showed no correlation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and DBH as well as species variation in intercept and slopes (Fig 4a).</w:t>
      </w:r>
      <w:r>
        <w:t xml:space="preserve"> </w:t>
      </w:r>
      <w:r>
        <w:t xml:space="preserve">These models showed small negative effect of wetness in 2010 (median effect =-0.04, 90% CI -0.09, 0.02), but a positive effect of wetness in 2015 (median effect =0.05, 90% CI 0, 0.11) and 2020 (median effect =0.06, 90% CI 0.01, 0.12).</w:t>
      </w:r>
      <w:r>
        <w:t xml:space="preserve"> </w:t>
      </w:r>
      <w:r>
        <w:t xml:space="preserve"> </w:t>
      </w:r>
      <w:r>
        <w:t xml:space="preserve">Predictions across the range of observed variables also showed that deciduous species generally had larger negative sensitivities in 2015, which did not increase with TWI (Fig 4c).</w:t>
      </w:r>
      <w:r>
        <w:br/>
      </w:r>
      <w:r>
        <w:t xml:space="preserve">Mean sensitivities across species and their response to TWI were not associated with deciduousness in 2010 or 2020, mirroring the response in the interaction model.</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more negative sensitivities in all three droughts.</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5943600"/>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which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two different droughts; larger trees fared better in the dry-season drought while trees in wetter sites suffered smaller growth declines in the wet-season drought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 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 But given that the 2015 drought was more anomalous on multi-month time scales (Fig. 1) does not align with this assumption.</w:t>
      </w:r>
      <w:r>
        <w:t xml:space="preserve"> </w:t>
      </w:r>
      <w:r>
        <w:t xml:space="preserve">Generalization of tropical tree growth responses to any specific drought seems to require fine-scale monitoring of growth (i.e., dendrometer band measurements or dendrochronology when possible) from species that might span importance and drought strategies over different timings and intensities of droughts. Advancing efforts to collect this level of data is critical to our assessment and prediction of drought responses of tropical forets to changing precipitation patterns.</w:t>
      </w:r>
      <w:r>
        <w:t xml:space="preserve"> </w:t>
      </w:r>
    </w:p>
    <w:p>
      <w:pPr>
        <w:pStyle w:val="BodyText"/>
      </w:pPr>
      <w:r>
        <w:t xml:space="preserve">We have demonstrated that species identity and a key species adaptation (decidousness) interact with drought characteristics and microenvironment to shape drought responses in a dry seasonal evergreen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152" w:name="references"/>
    <w:p>
      <w:pPr>
        <w:pStyle w:val="Heading1"/>
      </w:pPr>
      <w:r>
        <w:t xml:space="preserve">References</w:t>
      </w:r>
    </w:p>
    <w:bookmarkStart w:id="151"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3"/>
    <w:bookmarkStart w:id="65" w:name="ref-bamston_documentation_1997"/>
    <w:p>
      <w:pPr>
        <w:pStyle w:val="Bibliography"/>
      </w:pPr>
      <w:r>
        <w:t xml:space="preserve">Bamston, A.G., Chelliah, M. &amp; Goldenberg, S.B. (1997).</w:t>
      </w:r>
      <w:r>
        <w:t xml:space="preserve"> </w:t>
      </w:r>
      <w:hyperlink r:id="rId6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5"/>
    <w:bookmarkStart w:id="67" w:name="ref-bennett_larger_2015"/>
    <w:p>
      <w:pPr>
        <w:pStyle w:val="Bibliography"/>
      </w:pPr>
      <w:r>
        <w:t xml:space="preserve">Bennett, A.C., McDowell, N.G., Allen, C.D. &amp; Anderson-Teixeira, K.J. (2015).</w:t>
      </w:r>
      <w:r>
        <w:t xml:space="preserve"> </w:t>
      </w:r>
      <w:hyperlink r:id="rId6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7"/>
    <w:bookmarkStart w:id="6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9"/>
    <w:bookmarkStart w:id="7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1"/>
    <w:bookmarkStart w:id="7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2"/>
    <w:bookmarkStart w:id="74" w:name="ref-bürkner_brms_2017"/>
    <w:p>
      <w:pPr>
        <w:pStyle w:val="Bibliography"/>
      </w:pPr>
      <w:r>
        <w:t xml:space="preserve">Bürkner, P.-C. (2017).</w:t>
      </w:r>
      <w:r>
        <w:t xml:space="preserve"> </w:t>
      </w:r>
      <w:hyperlink r:id="rId7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4"/>
    <w:bookmarkStart w:id="7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5"/>
    <w:bookmarkStart w:id="7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7"/>
    <w:bookmarkStart w:id="79" w:name="ref-clark_annual_2021"/>
    <w:p>
      <w:pPr>
        <w:pStyle w:val="Bibliography"/>
      </w:pPr>
      <w:r>
        <w:t xml:space="preserve">Clark, D.A., Clark, D.B. &amp; Oberbauer, S.F. (2021).</w:t>
      </w:r>
      <w:r>
        <w:t xml:space="preserve"> </w:t>
      </w:r>
      <w:hyperlink r:id="rId7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9"/>
    <w:bookmarkStart w:id="81" w:name="ref-clark_annual_2010"/>
    <w:p>
      <w:pPr>
        <w:pStyle w:val="Bibliography"/>
      </w:pPr>
      <w:r>
        <w:t xml:space="preserve">Clark, D.B., Clark, D.A. &amp; Oberbauer, S.F. (2010).</w:t>
      </w:r>
      <w:r>
        <w:t xml:space="preserve"> </w:t>
      </w:r>
      <w:hyperlink r:id="rId8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1"/>
    <w:bookmarkStart w:id="82" w:name="ref-condit_dendrometer_"/>
    <w:p>
      <w:pPr>
        <w:pStyle w:val="Bibliography"/>
      </w:pPr>
      <w:r>
        <w:t xml:space="preserve">Condit, R. (n.d.). Dendrometer to</w:t>
      </w:r>
      <w:r>
        <w:t xml:space="preserve"> </w:t>
      </w:r>
      <w:r>
        <w:t xml:space="preserve">Diameter</w:t>
      </w:r>
      <w:r>
        <w:t xml:space="preserve">.</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8" w:name="ref-fernández-de-uña_role_2023"/>
    <w:p>
      <w:pPr>
        <w:pStyle w:val="Bibliography"/>
      </w:pPr>
      <w:r>
        <w:t xml:space="preserve">Fernández-de-Uña, L., Martínez-Vilalta, J., Poyatos, R., Mencuccini, M. &amp; McDowell, N.G. (2023).</w:t>
      </w:r>
      <w:r>
        <w:t xml:space="preserve"> </w:t>
      </w:r>
      <w:hyperlink r:id="rId87">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8"/>
    <w:bookmarkStart w:id="90"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89">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0"/>
    <w:bookmarkStart w:id="92" w:name="ref-garcía-cervigón_climate_2020"/>
    <w:p>
      <w:pPr>
        <w:pStyle w:val="Bibliography"/>
      </w:pPr>
      <w:r>
        <w:t xml:space="preserve">García-Cervigón, A.I., Camarero, J.J., Cueva, E., Espinosa, C.I. &amp; Escudero, A. (2020).</w:t>
      </w:r>
      <w:r>
        <w:t xml:space="preserve"> </w:t>
      </w:r>
      <w:hyperlink r:id="rId91">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2"/>
    <w:bookmarkStart w:id="94"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3">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4"/>
    <w:bookmarkStart w:id="96"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5">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6"/>
    <w:bookmarkStart w:id="98" w:name="ref-hulshof_variation_2010"/>
    <w:p>
      <w:pPr>
        <w:pStyle w:val="Bibliography"/>
      </w:pPr>
      <w:r>
        <w:t xml:space="preserve">Hulshof, C.M. &amp; Swenson, N.G. (2010).</w:t>
      </w:r>
      <w:r>
        <w:t xml:space="preserve"> </w:t>
      </w:r>
      <w:hyperlink r:id="rId97">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98"/>
    <w:bookmarkStart w:id="100" w:name="ref-ipcc_climate_2023"/>
    <w:p>
      <w:pPr>
        <w:pStyle w:val="Bibliography"/>
      </w:pPr>
      <w:r>
        <w:t xml:space="preserve">IPCC. (2023).</w:t>
      </w:r>
      <w:r>
        <w:t xml:space="preserve"> </w:t>
      </w:r>
      <w:hyperlink r:id="rId99">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0"/>
    <w:bookmarkStart w:id="102"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1">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2"/>
    <w:bookmarkStart w:id="103"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3"/>
    <w:bookmarkStart w:id="105" w:name="ref-liu_drought_2022"/>
    <w:p>
      <w:pPr>
        <w:pStyle w:val="Bibliography"/>
      </w:pPr>
      <w:r>
        <w:t xml:space="preserve">Liu, D., Wang, T., Peñuelas, J. &amp; Piao, S. (2022).</w:t>
      </w:r>
      <w:r>
        <w:t xml:space="preserve"> </w:t>
      </w:r>
      <w:hyperlink r:id="rId104">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5"/>
    <w:bookmarkStart w:id="107" w:name="ref-luo_tropical_2022"/>
    <w:p>
      <w:pPr>
        <w:pStyle w:val="Bibliography"/>
      </w:pPr>
      <w:r>
        <w:t xml:space="preserve">Luo, X. &amp; Keenan, T.F. (2022).</w:t>
      </w:r>
      <w:r>
        <w:t xml:space="preserve"> </w:t>
      </w:r>
      <w:hyperlink r:id="rId106">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7"/>
    <w:bookmarkStart w:id="109"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8">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9"/>
    <w:bookmarkStart w:id="111" w:name="ref-mcdowell_darcys_2015"/>
    <w:p>
      <w:pPr>
        <w:pStyle w:val="Bibliography"/>
      </w:pPr>
      <w:r>
        <w:t xml:space="preserve">McDowell, N.G. &amp; Allen, C.D. (2015).</w:t>
      </w:r>
      <w:r>
        <w:t xml:space="preserve"> </w:t>
      </w:r>
      <w:hyperlink r:id="rId110">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1"/>
    <w:bookmarkStart w:id="113"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2">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3"/>
    <w:bookmarkStart w:id="114" w:name="ref-muller-landau_metal_2008"/>
    <w:p>
      <w:pPr>
        <w:pStyle w:val="Bibliography"/>
      </w:pPr>
      <w:r>
        <w:t xml:space="preserve">Muller-Landau, H.C. (2008). Metal</w:t>
      </w:r>
      <w:r>
        <w:t xml:space="preserve"> </w:t>
      </w:r>
      <w:r>
        <w:t xml:space="preserve">Band Dendrometer Protocol</w:t>
      </w:r>
      <w:r>
        <w:t xml:space="preserve">.</w:t>
      </w:r>
    </w:p>
    <w:bookmarkEnd w:id="114"/>
    <w:bookmarkStart w:id="116"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5">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6"/>
    <w:bookmarkStart w:id="118" w:name="ref-oliveira_linking_2021"/>
    <w:p>
      <w:pPr>
        <w:pStyle w:val="Bibliography"/>
      </w:pPr>
      <w:r>
        <w:t xml:space="preserve">Oliveira, R.S., Eller, C.B., Barros, F. de V., Hirota, M., Brum, M. &amp; Bittencourt, P. (2021).</w:t>
      </w:r>
      <w:r>
        <w:t xml:space="preserve"> </w:t>
      </w:r>
      <w:hyperlink r:id="rId117">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8"/>
    <w:bookmarkStart w:id="119"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9"/>
    <w:bookmarkStart w:id="121" w:name="ref-raesch_pvldcurve_2020"/>
    <w:p>
      <w:pPr>
        <w:pStyle w:val="Bibliography"/>
      </w:pPr>
      <w:r>
        <w:t xml:space="preserve">Raesch, A. (2020).</w:t>
      </w:r>
      <w:r>
        <w:t xml:space="preserve"> </w:t>
      </w:r>
      <w:hyperlink r:id="rId120">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1"/>
    <w:bookmarkStart w:id="123" w:name="ref-räsänen_spatial_2016"/>
    <w:p>
      <w:pPr>
        <w:pStyle w:val="Bibliography"/>
      </w:pPr>
      <w:r>
        <w:t xml:space="preserve">Räsänen, T.A., Lindgren, V., Guillaume, J.H.A., Buckley, B.M. &amp; Kummu, M. (2016).</w:t>
      </w:r>
      <w:r>
        <w:t xml:space="preserve"> </w:t>
      </w:r>
      <w:hyperlink r:id="rId122">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3"/>
    <w:bookmarkStart w:id="125" w:name="ref-scharnweber_confessions_2019"/>
    <w:p>
      <w:pPr>
        <w:pStyle w:val="Bibliography"/>
      </w:pPr>
      <w:r>
        <w:t xml:space="preserve">Scharnweber, T., Heinze, L., Cruz-García, R., van der Maaten-Theunissen, M. &amp; Wilmking, M. (2019).</w:t>
      </w:r>
      <w:r>
        <w:t xml:space="preserve"> </w:t>
      </w:r>
      <w:hyperlink r:id="rId124">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5"/>
    <w:bookmarkStart w:id="127"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26">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27"/>
    <w:bookmarkStart w:id="128"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28"/>
    <w:bookmarkStart w:id="130" w:name="ref-stahl_depth_2013"/>
    <w:p>
      <w:pPr>
        <w:pStyle w:val="Bibliography"/>
      </w:pPr>
      <w:r>
        <w:t xml:space="preserve">Stahl, C., Hérault, B., Rossi, V., Burban, B., Bréchet, C. &amp; Bonal, D. (2013).</w:t>
      </w:r>
      <w:r>
        <w:t xml:space="preserve"> </w:t>
      </w:r>
      <w:hyperlink r:id="rId129">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0"/>
    <w:bookmarkStart w:id="132" w:name="ref-trugman_why_2021"/>
    <w:p>
      <w:pPr>
        <w:pStyle w:val="Bibliography"/>
      </w:pPr>
      <w:r>
        <w:t xml:space="preserve">Trugman, A.T., Anderegg, L.D.L., Anderegg, W.R.L., Das, A.J. &amp; Stephenson, N.L. (2021).</w:t>
      </w:r>
      <w:r>
        <w:t xml:space="preserve"> </w:t>
      </w:r>
      <w:hyperlink r:id="rId131">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2"/>
    <w:bookmarkStart w:id="134" w:name="ref-vasey_intraspecific_2022"/>
    <w:p>
      <w:pPr>
        <w:pStyle w:val="Bibliography"/>
      </w:pPr>
      <w:r>
        <w:t xml:space="preserve">Vasey, G.L., Weisberg, P.J. &amp; Urza, A.K. (2022).</w:t>
      </w:r>
      <w:r>
        <w:t xml:space="preserve"> </w:t>
      </w:r>
      <w:hyperlink r:id="rId133">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4"/>
    <w:bookmarkStart w:id="135"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5"/>
    <w:bookmarkStart w:id="137" w:name="ref-vicente-serrano_multiscalar_2010"/>
    <w:p>
      <w:pPr>
        <w:pStyle w:val="Bibliography"/>
      </w:pPr>
      <w:r>
        <w:t xml:space="preserve">Vicente-Serrano, S.M., Beguería, S. &amp; López-Moreno, J.I. (2010).</w:t>
      </w:r>
      <w:r>
        <w:t xml:space="preserve"> </w:t>
      </w:r>
      <w:hyperlink r:id="rId136">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37"/>
    <w:bookmarkStart w:id="139" w:name="ref-vico_how_2017a"/>
    <w:p>
      <w:pPr>
        <w:pStyle w:val="Bibliography"/>
      </w:pPr>
      <w:r>
        <w:t xml:space="preserve">Vico, G., Dralle, D., Feng, X., Thompson, S. &amp; Manzoni, S. (2017).</w:t>
      </w:r>
      <w:r>
        <w:t xml:space="preserve"> </w:t>
      </w:r>
      <w:hyperlink r:id="rId138">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39"/>
    <w:bookmarkStart w:id="141"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0">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1"/>
    <w:bookmarkStart w:id="143" w:name="ref-vlam_temperature_2014"/>
    <w:p>
      <w:pPr>
        <w:pStyle w:val="Bibliography"/>
      </w:pPr>
      <w:r>
        <w:t xml:space="preserve">Vlam, M., Baker, P.J., Bunyavejchewin, S. &amp; Zuidema, P.A. (2014).</w:t>
      </w:r>
      <w:r>
        <w:t xml:space="preserve"> </w:t>
      </w:r>
      <w:hyperlink r:id="rId142">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3"/>
    <w:bookmarkStart w:id="145" w:name="ref-williams_deciduousness_2008"/>
    <w:p>
      <w:pPr>
        <w:pStyle w:val="Bibliography"/>
      </w:pPr>
      <w:r>
        <w:t xml:space="preserve">Williams, L.J., Bunyavejchewin, S. &amp; Baker, P.J. (2008).</w:t>
      </w:r>
      <w:r>
        <w:t xml:space="preserve"> </w:t>
      </w:r>
      <w:hyperlink r:id="rId144">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5"/>
    <w:bookmarkStart w:id="146"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46"/>
    <w:bookmarkStart w:id="148"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47">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48"/>
    <w:bookmarkStart w:id="150" w:name="ref-zuleta_droughtinduced_2017"/>
    <w:p>
      <w:pPr>
        <w:pStyle w:val="Bibliography"/>
      </w:pPr>
      <w:r>
        <w:t xml:space="preserve">Zuleta, D., Duque, A., Cardenas, D., Muller-Landau, H.C. &amp; Davies, S.J. (2017).</w:t>
      </w:r>
      <w:r>
        <w:t xml:space="preserve"> </w:t>
      </w:r>
      <w:hyperlink r:id="rId149">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0"/>
    <w:bookmarkEnd w:id="151"/>
    <w:bookmarkEnd w:id="15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5" Target="https://doi.org/10.1002/2017GL076521" TargetMode="External" /><Relationship Type="http://schemas.openxmlformats.org/officeDocument/2006/relationships/hyperlink" Id="rId149" Target="https://doi.org/10.1002/ecy.1950" TargetMode="External" /><Relationship Type="http://schemas.openxmlformats.org/officeDocument/2006/relationships/hyperlink" Id="rId144" Target="https://doi.org/10.1007/s00442-007-0938-1" TargetMode="External" /><Relationship Type="http://schemas.openxmlformats.org/officeDocument/2006/relationships/hyperlink" Id="rId129" Target="https://doi.org/10.1007/s00442-013-2724-6" TargetMode="External" /><Relationship Type="http://schemas.openxmlformats.org/officeDocument/2006/relationships/hyperlink" Id="rId142"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4" Target="https://doi.org/10.1016/j.dendro.2019.04.001" TargetMode="External" /><Relationship Type="http://schemas.openxmlformats.org/officeDocument/2006/relationships/hyperlink" Id="rId131" Target="https://doi.org/10.1016/j.tree.2021.02.001" TargetMode="External" /><Relationship Type="http://schemas.openxmlformats.org/officeDocument/2006/relationships/hyperlink" Id="rId99"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0"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6" Target="https://doi.org/10.1038/s41467-022-28824-5" TargetMode="External" /><Relationship Type="http://schemas.openxmlformats.org/officeDocument/2006/relationships/hyperlink" Id="rId108"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7" Target="https://doi.org/10.1038/s41561-022-00911-8" TargetMode="External" /><Relationship Type="http://schemas.openxmlformats.org/officeDocument/2006/relationships/hyperlink" Id="rId104" Target="https://doi.org/10.1038/s41561-022-01026-w" TargetMode="External" /><Relationship Type="http://schemas.openxmlformats.org/officeDocument/2006/relationships/hyperlink" Id="rId64" Target="https://doi.org/10.1080/07055900.1997.9649597" TargetMode="External" /><Relationship Type="http://schemas.openxmlformats.org/officeDocument/2006/relationships/hyperlink" Id="rId138"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3"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89" Target="https://doi.org/10.1111/gcb.14367" TargetMode="External" /><Relationship Type="http://schemas.openxmlformats.org/officeDocument/2006/relationships/hyperlink" Id="rId126"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5" Target="https://doi.org/10.1111/gcb.16082" TargetMode="External" /><Relationship Type="http://schemas.openxmlformats.org/officeDocument/2006/relationships/hyperlink" Id="rId97"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3" Target="https://doi.org/10.1111/jbi.14515" TargetMode="External" /><Relationship Type="http://schemas.openxmlformats.org/officeDocument/2006/relationships/hyperlink" Id="rId91" Target="https://doi.org/10.1111/jvs.12840" TargetMode="External" /><Relationship Type="http://schemas.openxmlformats.org/officeDocument/2006/relationships/hyperlink" Id="rId112" Target="https://doi.org/10.1111/nph.16996" TargetMode="External" /><Relationship Type="http://schemas.openxmlformats.org/officeDocument/2006/relationships/hyperlink" Id="rId101" Target="https://doi.org/10.1111/nph.17187" TargetMode="External" /><Relationship Type="http://schemas.openxmlformats.org/officeDocument/2006/relationships/hyperlink" Id="rId117"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0"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36"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0" Target="https://doi.org/10.32614/CRAN.package.pvldcurve" TargetMode="External" /><Relationship Type="http://schemas.openxmlformats.org/officeDocument/2006/relationships/hyperlink" Id="rId122"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5" Target="https://doi.org/10.1002/2017GL076521" TargetMode="External" /><Relationship Type="http://schemas.openxmlformats.org/officeDocument/2006/relationships/hyperlink" Id="rId149" Target="https://doi.org/10.1002/ecy.1950" TargetMode="External" /><Relationship Type="http://schemas.openxmlformats.org/officeDocument/2006/relationships/hyperlink" Id="rId144" Target="https://doi.org/10.1007/s00442-007-0938-1" TargetMode="External" /><Relationship Type="http://schemas.openxmlformats.org/officeDocument/2006/relationships/hyperlink" Id="rId129" Target="https://doi.org/10.1007/s00442-013-2724-6" TargetMode="External" /><Relationship Type="http://schemas.openxmlformats.org/officeDocument/2006/relationships/hyperlink" Id="rId142"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4" Target="https://doi.org/10.1016/j.dendro.2019.04.001" TargetMode="External" /><Relationship Type="http://schemas.openxmlformats.org/officeDocument/2006/relationships/hyperlink" Id="rId131" Target="https://doi.org/10.1016/j.tree.2021.02.001" TargetMode="External" /><Relationship Type="http://schemas.openxmlformats.org/officeDocument/2006/relationships/hyperlink" Id="rId99"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0"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6" Target="https://doi.org/10.1038/s41467-022-28824-5" TargetMode="External" /><Relationship Type="http://schemas.openxmlformats.org/officeDocument/2006/relationships/hyperlink" Id="rId108"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7" Target="https://doi.org/10.1038/s41561-022-00911-8" TargetMode="External" /><Relationship Type="http://schemas.openxmlformats.org/officeDocument/2006/relationships/hyperlink" Id="rId104" Target="https://doi.org/10.1038/s41561-022-01026-w" TargetMode="External" /><Relationship Type="http://schemas.openxmlformats.org/officeDocument/2006/relationships/hyperlink" Id="rId64" Target="https://doi.org/10.1080/07055900.1997.9649597" TargetMode="External" /><Relationship Type="http://schemas.openxmlformats.org/officeDocument/2006/relationships/hyperlink" Id="rId138"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3"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89" Target="https://doi.org/10.1111/gcb.14367" TargetMode="External" /><Relationship Type="http://schemas.openxmlformats.org/officeDocument/2006/relationships/hyperlink" Id="rId126"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5" Target="https://doi.org/10.1111/gcb.16082" TargetMode="External" /><Relationship Type="http://schemas.openxmlformats.org/officeDocument/2006/relationships/hyperlink" Id="rId97"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3" Target="https://doi.org/10.1111/jbi.14515" TargetMode="External" /><Relationship Type="http://schemas.openxmlformats.org/officeDocument/2006/relationships/hyperlink" Id="rId91" Target="https://doi.org/10.1111/jvs.12840" TargetMode="External" /><Relationship Type="http://schemas.openxmlformats.org/officeDocument/2006/relationships/hyperlink" Id="rId112" Target="https://doi.org/10.1111/nph.16996" TargetMode="External" /><Relationship Type="http://schemas.openxmlformats.org/officeDocument/2006/relationships/hyperlink" Id="rId101" Target="https://doi.org/10.1111/nph.17187" TargetMode="External" /><Relationship Type="http://schemas.openxmlformats.org/officeDocument/2006/relationships/hyperlink" Id="rId117"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0"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36"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0" Target="https://doi.org/10.32614/CRAN.package.pvldcurve" TargetMode="External" /><Relationship Type="http://schemas.openxmlformats.org/officeDocument/2006/relationships/hyperlink" Id="rId122"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2025-06-17T18:39:02Z</dcterms:created>
  <dcterms:modified xsi:type="dcterms:W3CDTF">2025-06-17T18:39:02Z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