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early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w:t>
      </w:r>
      <w:r>
        <w:t xml:space="preserve"> </w:t>
      </w:r>
      <w:r>
        <w:t xml:space="preserve">(</w:t>
      </w:r>
      <w:r>
        <w:rPr>
          <w:bCs/>
          <w:b/>
        </w:rPr>
        <w:t xml:space="preserve">refs?</w:t>
      </w:r>
      <w:r>
        <w:t xml:space="preserve">)</w:t>
      </w:r>
      <w:r>
        <w:t xml:space="preserve"> </w:t>
      </w:r>
      <w:r>
        <w:t xml:space="preserve">and thereby potential to access more reliable water sources</w:t>
      </w:r>
      <w:r>
        <w:t xml:space="preserve"> </w:t>
      </w:r>
      <w:r>
        <w:t xml:space="preserve">(</w:t>
      </w:r>
      <w:r>
        <w:rPr>
          <w:bCs/>
          <w:b/>
        </w:rPr>
        <w:t xml:space="preserve">refs?</w:t>
      </w:r>
      <w:r>
        <w:t xml:space="preserve">)</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in press;</w:t>
      </w:r>
      <w:r>
        <w:t xml:space="preserve"> </w:t>
      </w:r>
      <w:r>
        <w:rPr>
          <w:bCs/>
          <w:b/>
        </w:rPr>
        <w:t xml:space="preserve">mcdowell_darcy_2015?</w:t>
      </w:r>
      <w:r>
        <w:t xml:space="preserve">)</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topographic location or tree size (and corresponding rooting volume),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76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early 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 SPEI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consecutive months SPEI &lt;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VPD anomaly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T~max~ anomaly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w:t>
      </w:r>
      <w:r>
        <w:t xml:space="preserve"> </w:t>
      </w:r>
      <w:r>
        <w:rPr>
          <w:bCs/>
          <w:b/>
        </w:rPr>
        <w:t xml:space="preserve">refs_ENSO?</w:t>
      </w:r>
      <w:r>
        <w:t xml:space="preserve">)</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focussed on 30 of the most abundant species in the plot.</w:t>
      </w:r>
      <w:r>
        <w:br/>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1-month Standardised Precipitation Evapotranspiration Index (SPEI) values for each month in 2010 and 2015.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1-month Standardised Precipitation Evapotranspiration Index (SPEI) values for each month in 2010 and 2015.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w:t>
      </w:r>
      <w:r>
        <w:t xml:space="preserve"> </w:t>
      </w:r>
      <w:r>
        <w:t xml:space="preserve">(</w:t>
      </w:r>
      <w:r>
        <w:rPr>
          <w:bCs/>
          <w:b/>
        </w:rPr>
        <w:t xml:space="preserve">REF?</w:t>
      </w:r>
      <w:r>
        <w:t xml:space="preserve">)</w:t>
      </w:r>
      <w:r>
        <w:t xml:space="preserve">.</w:t>
      </w:r>
      <w:r>
        <w:t xml:space="preserve"> </w:t>
      </w:r>
      <w:r>
        <w:t xml:space="preserve"> </w:t>
      </w:r>
      <w:r>
        <w:t xml:space="preserve">We also calculate Standardised Precipitation-Evapotranspiration Index (SPEI) at the 1-month scale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1-month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rPr>
          <w:iCs/>
          <w:i/>
        </w:rPr>
        <w:t xml:space="preserve">(SPECIFY WHICH VARIABLES WERE OBTAINED FROM WHICH SOURCE, AND OTHER SOURCES.)</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April (dry season), with drought characteristics including lower precipitation, higher number of dry days, higher maximum temperature, and higher VPD relative to the long-term mean and 1-month SPEI values below -1.</w:t>
      </w:r>
      <w:r>
        <w:t xml:space="preserve"> </w:t>
      </w:r>
      <w:r>
        <w:t xml:space="preserve">In 2015, similar deviations occurred in May and June (early wet season), with 1-month SPEI in May reaching -2, the lowest in the the entire dendroband census time period.</w:t>
      </w:r>
    </w:p>
    <w:bookmarkEnd w:id="37"/>
    <w:bookmarkStart w:id="38"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1.73</w:t>
      </w:r>
      <w:r>
        <w:t xml:space="preserve"> </w:t>
      </w:r>
      <m:oMath>
        <m:r>
          <m:rPr>
            <m:sty m:val="p"/>
          </m:rPr>
          <m:t>±</m:t>
        </m:r>
      </m:oMath>
      <w:r>
        <w:t xml:space="preserve"> </w:t>
      </w:r>
      <w:r>
        <w:t xml:space="preserve">2.79 mm.</w:t>
      </w:r>
      <w:r>
        <w:t xml:space="preserve"> </w:t>
      </w:r>
      <w:r>
        <w:t xml:space="preserve">Median annual increment differed by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p>
    <w:p>
      <w:pPr>
        <w:pStyle w:val="BodyText"/>
      </w:pPr>
      <w:r>
        <w:t xml:space="preserve">Drought years were associated with lower growth across the plot.</w:t>
      </w:r>
      <w:r>
        <w:t xml:space="preserve"> </w:t>
      </w:r>
      <w:r>
        <w:t xml:space="preserve">In 2010,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 </w:t>
      </w:r>
      <w:r>
        <w:t xml:space="preserve"> </w:t>
      </w:r>
      <w:r>
        <w:t xml:space="preserve"> </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38"/>
    <w:bookmarkStart w:id="43"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 responses to drought were not correlated with each other (Fig S6).</w:t>
      </w:r>
    </w:p>
    <w:p>
      <w:pPr>
        <w:pStyle w:val="BodyText"/>
      </w:pPr>
      <w:r>
        <w:t xml:space="preserve">TWI had no significant on sensitivity in 2010 but a positive effect in 2015.</w:t>
      </w:r>
      <w:r>
        <w:t xml:space="preserve"> </w:t>
      </w:r>
      <w:r>
        <w:t xml:space="preserve">Specifically, 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at least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timeseries, we found lower-than-average growth in drought years, reflecting in lower plot-level growth (Fig 2).</w:t>
      </w:r>
      <w:r>
        <w:t xml:space="preserve"> </w:t>
      </w:r>
      <w:r>
        <w:t xml:space="preserve">Comparing 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early wet season (2015) elicited stronger responses across trees, especially deciduous species that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While trees with more exposed crowns were consistently more sensitive to drought, additional effects of DBH – presumably including rooting volume and depth – were dissimilar between the drought events (Fig 4a).</w:t>
      </w:r>
      <w:r>
        <w:t xml:space="preserve"> </w:t>
      </w:r>
      <w:r>
        <w:t xml:space="preserve">In other words, water availability buffered exposure-associated growth declines through different mechanisms in the two different droughts; larger trees (with likely deeper roots) fared better in the dry-season drought while trees in wetter sites suffered smaller growth declines in the wet-season drought (Fig 5).</w:t>
      </w:r>
      <w:r>
        <w:t xml:space="preserve"> </w:t>
      </w:r>
      <w:r>
        <w:t xml:space="preserve">Taken together, these results indicate that joint and interactive effects of drought characteristics, species traits, and individual microenvironments produce enormous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and magnitude and duration of meteorological extremes and anomalies (Fig. 1).</w:t>
      </w:r>
      <w:r>
        <w:br/>
      </w:r>
      <w:r>
        <w:t xml:space="preserve">Thus, quantitative analyses parsing out the specific effects of drought characteristics (e.g., timing, degree of anomaly) are currently impossible.</w:t>
      </w:r>
      <w:r>
        <w:t xml:space="preserve"> </w:t>
      </w:r>
      <w:r>
        <w:t xml:space="preserve">While the meteorological data justify our characterization of these droughts as</w:t>
      </w:r>
      <w:r>
        <w:t xml:space="preserve"> </w:t>
      </w:r>
      <w:r>
        <w:t xml:space="preserve">“</w:t>
      </w:r>
      <w:r>
        <w:t xml:space="preserve">dry-season</w:t>
      </w:r>
      <w:r>
        <w:t xml:space="preserve">”</w:t>
      </w:r>
      <w:r>
        <w:t xml:space="preserve"> </w:t>
      </w:r>
      <w:r>
        <w:t xml:space="preserve">(2010) and</w:t>
      </w:r>
      <w:r>
        <w:t xml:space="preserve"> </w:t>
      </w:r>
      <w:r>
        <w:t xml:space="preserve">“</w:t>
      </w:r>
      <w:r>
        <w:t xml:space="preserve">wet-season</w:t>
      </w:r>
      <w:r>
        <w:t xml:space="preserve">”</w:t>
      </w:r>
      <w:r>
        <w:t xml:space="preserve"> </w:t>
      </w:r>
      <w:r>
        <w:t xml:space="preserve">(2015), growth records from numerous additional droughts would be necessary to rigorously generalize differences based on the seasonality of drought effects.</w:t>
      </w:r>
      <w:r>
        <w:t xml:space="preserve"> </w:t>
      </w:r>
      <w:r>
        <w:t xml:space="preserve">Given the relative rarity of drought and the lack of multi-decadal records of annual tree growth for diverse tropical forests, there is currently no data set on which such an analysis could be performed.</w:t>
      </w:r>
      <w:r>
        <w:t xml:space="preserve"> </w:t>
      </w:r>
      <w:r>
        <w:t xml:space="preserve">In temperate and boreal forests, where the majority of species form annual growth rings, tree-ring analysis can disentangle species and individual sensitivities to larger numbers of droughts (although sample sizes still remain limited).</w:t>
      </w:r>
      <w:r>
        <w:t xml:space="preserve"> </w:t>
      </w:r>
      <w:r>
        <w:rPr>
          <w:iCs/>
          <w:i/>
        </w:rPr>
        <w:t xml:space="preserve">(KAT paused editing here.)</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S5).</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33" w:name="references"/>
    <w:p>
      <w:pPr>
        <w:pStyle w:val="Heading1"/>
      </w:pPr>
      <w:r>
        <w:t xml:space="preserve">References</w:t>
      </w:r>
    </w:p>
    <w:bookmarkStart w:id="132"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bennett_larger_2015"/>
    <w:p>
      <w:pPr>
        <w:pStyle w:val="Bibliography"/>
      </w:pPr>
      <w:r>
        <w:t xml:space="preserve">Bennett, A.C., McDowell, N.G., Allen, C.D. &amp; Anderson-Teixeira, K.J. (2015).</w:t>
      </w:r>
      <w:r>
        <w:t xml:space="preserve"> </w:t>
      </w:r>
      <w:hyperlink r:id="rId60">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1"/>
    <w:bookmarkStart w:id="63"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2">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3"/>
    <w:bookmarkStart w:id="65"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4">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5"/>
    <w:bookmarkStart w:id="67" w:name="ref-bürkner_brms_2017"/>
    <w:p>
      <w:pPr>
        <w:pStyle w:val="Bibliography"/>
      </w:pPr>
      <w:r>
        <w:t xml:space="preserve">Bürkner, P.-C. (2017).</w:t>
      </w:r>
      <w:r>
        <w:t xml:space="preserve"> </w:t>
      </w:r>
      <w:hyperlink r:id="rId66">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7"/>
    <w:bookmarkStart w:id="68"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68"/>
    <w:bookmarkStart w:id="70"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69">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0"/>
    <w:bookmarkStart w:id="72" w:name="ref-clark_annual_2021"/>
    <w:p>
      <w:pPr>
        <w:pStyle w:val="Bibliography"/>
      </w:pPr>
      <w:r>
        <w:t xml:space="preserve">Clark, D.A., Clark, D.B. &amp; Oberbauer, S.F. (2021).</w:t>
      </w:r>
      <w:r>
        <w:t xml:space="preserve"> </w:t>
      </w:r>
      <w:hyperlink r:id="rId71">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2"/>
    <w:bookmarkStart w:id="74" w:name="ref-clark_annual_2010"/>
    <w:p>
      <w:pPr>
        <w:pStyle w:val="Bibliography"/>
      </w:pPr>
      <w:r>
        <w:t xml:space="preserve">Clark, D.B., Clark, D.A. &amp; Oberbauer, S.F. (2010).</w:t>
      </w:r>
      <w:r>
        <w:t xml:space="preserve"> </w:t>
      </w:r>
      <w:hyperlink r:id="rId73">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4"/>
    <w:bookmarkStart w:id="76" w:name="ref-dahinden_future_2017"/>
    <w:p>
      <w:pPr>
        <w:pStyle w:val="Bibliography"/>
      </w:pPr>
      <w:r>
        <w:t xml:space="preserve">Dahinden, F., Fischer, E.M. &amp; Knutti, R. (2017).</w:t>
      </w:r>
      <w:r>
        <w:t xml:space="preserve"> </w:t>
      </w:r>
      <w:hyperlink r:id="rId75">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6"/>
    <w:bookmarkStart w:id="78" w:name="ref-desouza_drought_2020"/>
    <w:p>
      <w:pPr>
        <w:pStyle w:val="Bibliography"/>
      </w:pPr>
      <w:r>
        <w:t xml:space="preserve">De Souza, B.C., Carvalho, E.C.D., Oliveira, R.S., De Araujo, F.S., De Lima, A.L.A. &amp; Rodal, M.J.N. (2020).</w:t>
      </w:r>
      <w:r>
        <w:t xml:space="preserve"> </w:t>
      </w:r>
      <w:hyperlink r:id="rId77">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78"/>
    <w:bookmarkStart w:id="80" w:name="ref-fernández-de-uña_role_inpress"/>
    <w:p>
      <w:pPr>
        <w:pStyle w:val="Bibliography"/>
      </w:pPr>
      <w:r>
        <w:t xml:space="preserve">Fernández-de-Uña, L., Martínez-Vilalta, J., Poyatos, R., Mencuccini, M. &amp; McDowell, N.G. (in press).</w:t>
      </w:r>
      <w:r>
        <w:t xml:space="preserve"> </w:t>
      </w:r>
      <w:hyperlink r:id="rId79">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n/a.</w:t>
      </w:r>
    </w:p>
    <w:bookmarkEnd w:id="80"/>
    <w:bookmarkStart w:id="82" w:name="ref-garcía-cervigón_climate_2020"/>
    <w:p>
      <w:pPr>
        <w:pStyle w:val="Bibliography"/>
      </w:pPr>
      <w:r>
        <w:t xml:space="preserve">García-Cervigón, A.I., Camarero, J.J., Cueva, E., Espinosa, C.I. &amp; Escudero, A. (2020).</w:t>
      </w:r>
      <w:r>
        <w:t xml:space="preserve"> </w:t>
      </w:r>
      <w:hyperlink r:id="rId81">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2"/>
    <w:bookmarkStart w:id="84"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83">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84"/>
    <w:bookmarkStart w:id="86"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85">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86"/>
    <w:bookmarkStart w:id="88"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87">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88"/>
    <w:bookmarkStart w:id="90" w:name="ref-ipcc_climate_2023"/>
    <w:p>
      <w:pPr>
        <w:pStyle w:val="Bibliography"/>
      </w:pPr>
      <w:r>
        <w:t xml:space="preserve">IPCC. (2023).</w:t>
      </w:r>
      <w:r>
        <w:t xml:space="preserve"> </w:t>
      </w:r>
      <w:hyperlink r:id="rId89">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0"/>
    <w:bookmarkStart w:id="92"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1">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2"/>
    <w:bookmarkStart w:id="93"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3"/>
    <w:bookmarkStart w:id="95" w:name="ref-liu_drought_2022"/>
    <w:p>
      <w:pPr>
        <w:pStyle w:val="Bibliography"/>
      </w:pPr>
      <w:r>
        <w:t xml:space="preserve">Liu, D., Wang, T., Peñuelas, J. &amp; Piao, S. (2022).</w:t>
      </w:r>
      <w:r>
        <w:t xml:space="preserve"> </w:t>
      </w:r>
      <w:hyperlink r:id="rId94">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5"/>
    <w:bookmarkStart w:id="97" w:name="ref-luo_tropical_2022"/>
    <w:p>
      <w:pPr>
        <w:pStyle w:val="Bibliography"/>
      </w:pPr>
      <w:r>
        <w:t xml:space="preserve">Luo, X. &amp; Keenan, T.F. (2022).</w:t>
      </w:r>
      <w:r>
        <w:t xml:space="preserve"> </w:t>
      </w:r>
      <w:hyperlink r:id="rId96">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7"/>
    <w:bookmarkStart w:id="99" w:name="ref-ma_tree_2023"/>
    <w:p>
      <w:pPr>
        <w:pStyle w:val="Bibliography"/>
      </w:pPr>
      <w:r>
        <w:t xml:space="preserve">Ma, Q., Su, Y., Niu, C., Ma, Q., Hu, T., Luo, X.,</w:t>
      </w:r>
      <w:r>
        <w:t xml:space="preserve"> </w:t>
      </w:r>
      <w:r>
        <w:rPr>
          <w:iCs/>
          <w:i/>
        </w:rPr>
        <w:t xml:space="preserve">et al.</w:t>
      </w:r>
      <w:r>
        <w:t xml:space="preserve"> (2023).</w:t>
      </w:r>
      <w:r>
        <w:t xml:space="preserve"> </w:t>
      </w:r>
      <w:hyperlink r:id="rId98">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9"/>
    <w:bookmarkStart w:id="101"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0">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1"/>
    <w:bookmarkStart w:id="102" w:name="ref-muller-landau_metal_2008"/>
    <w:p>
      <w:pPr>
        <w:pStyle w:val="Bibliography"/>
      </w:pPr>
      <w:r>
        <w:t xml:space="preserve">Muller-Landau, H.C. (2008). Metal</w:t>
      </w:r>
      <w:r>
        <w:t xml:space="preserve"> </w:t>
      </w:r>
      <w:r>
        <w:t xml:space="preserve">Band Dendrometer Protocol</w:t>
      </w:r>
      <w:r>
        <w:t xml:space="preserve">.</w:t>
      </w:r>
    </w:p>
    <w:bookmarkEnd w:id="102"/>
    <w:bookmarkStart w:id="104"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3">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4"/>
    <w:bookmarkStart w:id="106" w:name="ref-oliveira_linking_2021"/>
    <w:p>
      <w:pPr>
        <w:pStyle w:val="Bibliography"/>
      </w:pPr>
      <w:r>
        <w:t xml:space="preserve">Oliveira, R.S., Eller, C.B., Barros, F. de V., Hirota, M., Brum, M. &amp; Bittencourt, P. (2021).</w:t>
      </w:r>
      <w:r>
        <w:t xml:space="preserve"> </w:t>
      </w:r>
      <w:hyperlink r:id="rId105">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6"/>
    <w:bookmarkStart w:id="107"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7"/>
    <w:bookmarkStart w:id="109" w:name="ref-scharnweber_confessions_2019"/>
    <w:p>
      <w:pPr>
        <w:pStyle w:val="Bibliography"/>
      </w:pPr>
      <w:r>
        <w:t xml:space="preserve">Scharnweber, T., Heinze, L., Cruz-García, R., van der Maaten-Theunissen, M. &amp; Wilmking, M. (2019).</w:t>
      </w:r>
      <w:r>
        <w:t xml:space="preserve"> </w:t>
      </w:r>
      <w:hyperlink r:id="rId10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09"/>
    <w:bookmarkStart w:id="111"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0">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1"/>
    <w:bookmarkStart w:id="113" w:name="ref-trugman_why_2021"/>
    <w:p>
      <w:pPr>
        <w:pStyle w:val="Bibliography"/>
      </w:pPr>
      <w:r>
        <w:t xml:space="preserve">Trugman, A.T., Anderegg, L.D.L., Anderegg, W.R.L., Das, A.J. &amp; Stephenson, N.L. (2021).</w:t>
      </w:r>
      <w:r>
        <w:t xml:space="preserve"> </w:t>
      </w:r>
      <w:hyperlink r:id="rId112">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3"/>
    <w:bookmarkStart w:id="115" w:name="ref-vasey_intraspecific_2022"/>
    <w:p>
      <w:pPr>
        <w:pStyle w:val="Bibliography"/>
      </w:pPr>
      <w:r>
        <w:t xml:space="preserve">Vasey, G.L., Weisberg, P.J. &amp; Urza, A.K. (2022).</w:t>
      </w:r>
      <w:r>
        <w:t xml:space="preserve"> </w:t>
      </w:r>
      <w:hyperlink r:id="rId114">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5"/>
    <w:bookmarkStart w:id="116"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6"/>
    <w:bookmarkStart w:id="118" w:name="ref-vicente-serrano_multiscalar_2010"/>
    <w:p>
      <w:pPr>
        <w:pStyle w:val="Bibliography"/>
      </w:pPr>
      <w:r>
        <w:t xml:space="preserve">Vicente-Serrano, S.M., Beguería, S. &amp; López-Moreno, J.I. (2010).</w:t>
      </w:r>
      <w:r>
        <w:t xml:space="preserve"> </w:t>
      </w:r>
      <w:hyperlink r:id="rId117">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18"/>
    <w:bookmarkStart w:id="120" w:name="ref-vico_how_2017a"/>
    <w:p>
      <w:pPr>
        <w:pStyle w:val="Bibliography"/>
      </w:pPr>
      <w:r>
        <w:t xml:space="preserve">Vico, G., Dralle, D., Feng, X., Thompson, S. &amp; Manzoni, S. (2017).</w:t>
      </w:r>
      <w:r>
        <w:t xml:space="preserve"> </w:t>
      </w:r>
      <w:hyperlink r:id="rId119">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0"/>
    <w:bookmarkStart w:id="122"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1">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2"/>
    <w:bookmarkStart w:id="124" w:name="ref-vlam_temperature_2014"/>
    <w:p>
      <w:pPr>
        <w:pStyle w:val="Bibliography"/>
      </w:pPr>
      <w:r>
        <w:t xml:space="preserve">Vlam, M., Baker, P.J., Bunyavejchewin, S. &amp; Zuidema, P.A. (2014).</w:t>
      </w:r>
      <w:r>
        <w:t xml:space="preserve"> </w:t>
      </w:r>
      <w:hyperlink r:id="rId123">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4"/>
    <w:bookmarkStart w:id="126" w:name="ref-williams_deciduousness_2008"/>
    <w:p>
      <w:pPr>
        <w:pStyle w:val="Bibliography"/>
      </w:pPr>
      <w:r>
        <w:t xml:space="preserve">Williams, L.J., Bunyavejchewin, S. &amp; Baker, P.J. (2008).</w:t>
      </w:r>
      <w:r>
        <w:t xml:space="preserve"> </w:t>
      </w:r>
      <w:hyperlink r:id="rId125">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6"/>
    <w:bookmarkStart w:id="127"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27"/>
    <w:bookmarkStart w:id="129"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28">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29"/>
    <w:bookmarkStart w:id="131" w:name="ref-zuleta_droughtinduced_2017"/>
    <w:p>
      <w:pPr>
        <w:pStyle w:val="Bibliography"/>
      </w:pPr>
      <w:r>
        <w:t xml:space="preserve">Zuleta, D., Duque, A., Cardenas, D., Muller-Landau, H.C. &amp; Davies, S.J. (2017).</w:t>
      </w:r>
      <w:r>
        <w:t xml:space="preserve"> </w:t>
      </w:r>
      <w:hyperlink r:id="rId130">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1"/>
    <w:bookmarkEnd w:id="132"/>
    <w:bookmarkEnd w:id="13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03" Target="https://doi.org/10.1002/2017GL076521" TargetMode="External" /><Relationship Type="http://schemas.openxmlformats.org/officeDocument/2006/relationships/hyperlink" Id="rId130" Target="https://doi.org/10.1002/ecy.1950" TargetMode="External" /><Relationship Type="http://schemas.openxmlformats.org/officeDocument/2006/relationships/hyperlink" Id="rId125" Target="https://doi.org/10.1007/s00442-007-0938-1" TargetMode="External" /><Relationship Type="http://schemas.openxmlformats.org/officeDocument/2006/relationships/hyperlink" Id="rId123" Target="https://doi.org/10.1007/s00442-013-2846-x" TargetMode="External" /><Relationship Type="http://schemas.openxmlformats.org/officeDocument/2006/relationships/hyperlink" Id="rId77" Target="https://doi.org/10.1007/s00442-020-04760-3" TargetMode="External" /><Relationship Type="http://schemas.openxmlformats.org/officeDocument/2006/relationships/hyperlink" Id="rId108" Target="https://doi.org/10.1016/j.dendro.2019.04.001" TargetMode="External" /><Relationship Type="http://schemas.openxmlformats.org/officeDocument/2006/relationships/hyperlink" Id="rId112" Target="https://doi.org/10.1016/j.tree.2021.02.001" TargetMode="External" /><Relationship Type="http://schemas.openxmlformats.org/officeDocument/2006/relationships/hyperlink" Id="rId89" Target="https://doi.org/10.1017/9781009157896" TargetMode="External" /><Relationship Type="http://schemas.openxmlformats.org/officeDocument/2006/relationships/hyperlink" Id="rId71"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6" Target="https://doi.org/10.1038/s41467-022-28824-5" TargetMode="External" /><Relationship Type="http://schemas.openxmlformats.org/officeDocument/2006/relationships/hyperlink" Id="rId98" Target="https://doi.org/10.1038/s41467-023-43083-8"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28" Target="https://doi.org/10.1038/s41561-022-00911-8" TargetMode="External" /><Relationship Type="http://schemas.openxmlformats.org/officeDocument/2006/relationships/hyperlink" Id="rId94" Target="https://doi.org/10.1038/s41561-022-01026-w" TargetMode="External" /><Relationship Type="http://schemas.openxmlformats.org/officeDocument/2006/relationships/hyperlink" Id="rId119" Target="https://doi.org/10.1088/1748-9326/aa6f1b" TargetMode="External" /><Relationship Type="http://schemas.openxmlformats.org/officeDocument/2006/relationships/hyperlink" Id="rId75" Target="https://doi.org/10.1088/1748-9326/aa75d7" TargetMode="External" /><Relationship Type="http://schemas.openxmlformats.org/officeDocument/2006/relationships/hyperlink" Id="rId83" Target="https://doi.org/10.1111/1365-2745.14069" TargetMode="External" /><Relationship Type="http://schemas.openxmlformats.org/officeDocument/2006/relationships/hyperlink" Id="rId85"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10" Target="https://doi.org/10.1111/gcb.14747" TargetMode="External" /><Relationship Type="http://schemas.openxmlformats.org/officeDocument/2006/relationships/hyperlink" Id="rId87" Target="https://doi.org/10.1111/gcb.16082" TargetMode="External" /><Relationship Type="http://schemas.openxmlformats.org/officeDocument/2006/relationships/hyperlink" Id="rId73" Target="https://doi.org/10.1111/j.1365-2486.2009.02004.x" TargetMode="External" /><Relationship Type="http://schemas.openxmlformats.org/officeDocument/2006/relationships/hyperlink" Id="rId114" Target="https://doi.org/10.1111/jbi.14515" TargetMode="External" /><Relationship Type="http://schemas.openxmlformats.org/officeDocument/2006/relationships/hyperlink" Id="rId81" Target="https://doi.org/10.1111/jvs.12840" TargetMode="External" /><Relationship Type="http://schemas.openxmlformats.org/officeDocument/2006/relationships/hyperlink" Id="rId100" Target="https://doi.org/10.1111/nph.16996" TargetMode="External" /><Relationship Type="http://schemas.openxmlformats.org/officeDocument/2006/relationships/hyperlink" Id="rId91" Target="https://doi.org/10.1111/nph.17187" TargetMode="External" /><Relationship Type="http://schemas.openxmlformats.org/officeDocument/2006/relationships/hyperlink" Id="rId105" Target="https://doi.org/10.1111/nph.17266" TargetMode="External" /><Relationship Type="http://schemas.openxmlformats.org/officeDocument/2006/relationships/hyperlink" Id="rId69" Target="https://doi.org/10.1111/nph.17464" TargetMode="External" /><Relationship Type="http://schemas.openxmlformats.org/officeDocument/2006/relationships/hyperlink" Id="rId121" Target="https://doi.org/10.1111/nph.18539" TargetMode="External" /><Relationship Type="http://schemas.openxmlformats.org/officeDocument/2006/relationships/hyperlink" Id="rId79" Target="https://doi.org/10.1111/nph.19130" TargetMode="External" /><Relationship Type="http://schemas.openxmlformats.org/officeDocument/2006/relationships/hyperlink" Id="rId64" Target="https://doi.org/10.1146/annurev-earth-082517-010235" TargetMode="External" /><Relationship Type="http://schemas.openxmlformats.org/officeDocument/2006/relationships/hyperlink" Id="rId117"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3" Target="https://doi.org/10.1002/2017GL076521" TargetMode="External" /><Relationship Type="http://schemas.openxmlformats.org/officeDocument/2006/relationships/hyperlink" Id="rId130" Target="https://doi.org/10.1002/ecy.1950" TargetMode="External" /><Relationship Type="http://schemas.openxmlformats.org/officeDocument/2006/relationships/hyperlink" Id="rId125" Target="https://doi.org/10.1007/s00442-007-0938-1" TargetMode="External" /><Relationship Type="http://schemas.openxmlformats.org/officeDocument/2006/relationships/hyperlink" Id="rId123" Target="https://doi.org/10.1007/s00442-013-2846-x" TargetMode="External" /><Relationship Type="http://schemas.openxmlformats.org/officeDocument/2006/relationships/hyperlink" Id="rId77" Target="https://doi.org/10.1007/s00442-020-04760-3" TargetMode="External" /><Relationship Type="http://schemas.openxmlformats.org/officeDocument/2006/relationships/hyperlink" Id="rId108" Target="https://doi.org/10.1016/j.dendro.2019.04.001" TargetMode="External" /><Relationship Type="http://schemas.openxmlformats.org/officeDocument/2006/relationships/hyperlink" Id="rId112" Target="https://doi.org/10.1016/j.tree.2021.02.001" TargetMode="External" /><Relationship Type="http://schemas.openxmlformats.org/officeDocument/2006/relationships/hyperlink" Id="rId89" Target="https://doi.org/10.1017/9781009157896" TargetMode="External" /><Relationship Type="http://schemas.openxmlformats.org/officeDocument/2006/relationships/hyperlink" Id="rId71"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6" Target="https://doi.org/10.1038/s41467-022-28824-5" TargetMode="External" /><Relationship Type="http://schemas.openxmlformats.org/officeDocument/2006/relationships/hyperlink" Id="rId98" Target="https://doi.org/10.1038/s41467-023-43083-8"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28" Target="https://doi.org/10.1038/s41561-022-00911-8" TargetMode="External" /><Relationship Type="http://schemas.openxmlformats.org/officeDocument/2006/relationships/hyperlink" Id="rId94" Target="https://doi.org/10.1038/s41561-022-01026-w" TargetMode="External" /><Relationship Type="http://schemas.openxmlformats.org/officeDocument/2006/relationships/hyperlink" Id="rId119" Target="https://doi.org/10.1088/1748-9326/aa6f1b" TargetMode="External" /><Relationship Type="http://schemas.openxmlformats.org/officeDocument/2006/relationships/hyperlink" Id="rId75" Target="https://doi.org/10.1088/1748-9326/aa75d7" TargetMode="External" /><Relationship Type="http://schemas.openxmlformats.org/officeDocument/2006/relationships/hyperlink" Id="rId83" Target="https://doi.org/10.1111/1365-2745.14069" TargetMode="External" /><Relationship Type="http://schemas.openxmlformats.org/officeDocument/2006/relationships/hyperlink" Id="rId85"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10" Target="https://doi.org/10.1111/gcb.14747" TargetMode="External" /><Relationship Type="http://schemas.openxmlformats.org/officeDocument/2006/relationships/hyperlink" Id="rId87" Target="https://doi.org/10.1111/gcb.16082" TargetMode="External" /><Relationship Type="http://schemas.openxmlformats.org/officeDocument/2006/relationships/hyperlink" Id="rId73" Target="https://doi.org/10.1111/j.1365-2486.2009.02004.x" TargetMode="External" /><Relationship Type="http://schemas.openxmlformats.org/officeDocument/2006/relationships/hyperlink" Id="rId114" Target="https://doi.org/10.1111/jbi.14515" TargetMode="External" /><Relationship Type="http://schemas.openxmlformats.org/officeDocument/2006/relationships/hyperlink" Id="rId81" Target="https://doi.org/10.1111/jvs.12840" TargetMode="External" /><Relationship Type="http://schemas.openxmlformats.org/officeDocument/2006/relationships/hyperlink" Id="rId100" Target="https://doi.org/10.1111/nph.16996" TargetMode="External" /><Relationship Type="http://schemas.openxmlformats.org/officeDocument/2006/relationships/hyperlink" Id="rId91" Target="https://doi.org/10.1111/nph.17187" TargetMode="External" /><Relationship Type="http://schemas.openxmlformats.org/officeDocument/2006/relationships/hyperlink" Id="rId105" Target="https://doi.org/10.1111/nph.17266" TargetMode="External" /><Relationship Type="http://schemas.openxmlformats.org/officeDocument/2006/relationships/hyperlink" Id="rId69" Target="https://doi.org/10.1111/nph.17464" TargetMode="External" /><Relationship Type="http://schemas.openxmlformats.org/officeDocument/2006/relationships/hyperlink" Id="rId121" Target="https://doi.org/10.1111/nph.18539" TargetMode="External" /><Relationship Type="http://schemas.openxmlformats.org/officeDocument/2006/relationships/hyperlink" Id="rId79" Target="https://doi.org/10.1111/nph.19130" TargetMode="External" /><Relationship Type="http://schemas.openxmlformats.org/officeDocument/2006/relationships/hyperlink" Id="rId64" Target="https://doi.org/10.1146/annurev-earth-082517-010235" TargetMode="External" /><Relationship Type="http://schemas.openxmlformats.org/officeDocument/2006/relationships/hyperlink" Id="rId117"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2025-04-11T19:17:48Z</dcterms:created>
  <dcterms:modified xsi:type="dcterms:W3CDTF">2025-04-11T19:17:48Z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