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SCBI</w:t>
      </w:r>
      <w:r>
        <w:br/>
      </w:r>
      <w:r>
        <w:rPr>
          <w:vertAlign w:val="superscript"/>
        </w:rPr>
        <w:t xml:space="preserve">2</w:t>
      </w:r>
      <w:r>
        <w:t xml:space="preserve">SERC</w:t>
      </w:r>
      <w:r>
        <w:br/>
      </w:r>
      <w:r>
        <w:rPr>
          <w:vertAlign w:val="superscript"/>
        </w:rPr>
        <w:t xml:space="preserve">3</w:t>
      </w:r>
      <w:r>
        <w:t xml:space="preserve">STRI</w:t>
      </w:r>
      <w:r>
        <w:br/>
      </w:r>
      <w:r>
        <w:rPr>
          <w:vertAlign w:val="superscript"/>
        </w:rPr>
        <w:t xml:space="preserve">4</w:t>
      </w:r>
      <w:r>
        <w:t xml:space="preserve">National Park, Wildlife and Plant Conservation Department, Thailand</w:t>
      </w:r>
      <w:r>
        <w:br/>
      </w:r>
      <w:r>
        <w:rPr>
          <w:vertAlign w:val="superscript"/>
        </w:rPr>
        <w:t xml:space="preserve">5</w:t>
      </w:r>
      <w:r>
        <w:t xml:space="preserve">Kasetsart University,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and offsets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the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We know that drought characteristics [], species traits, and microenvironment</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w:t>
      </w:r>
      <w:r>
        <w:t xml:space="preserve">all affect tree growth responses.</w:t>
      </w:r>
      <w:r>
        <w:t xml:space="preserve"> </w:t>
      </w:r>
      <w:r>
        <w:t xml:space="preserve">However, we know little about their combined effects or potential interactions, which could fundamentally alter our understanding of forest responses to drought.</w:t>
      </w:r>
      <w:r>
        <w:t xml:space="preserve"> </w:t>
      </w:r>
      <w:r>
        <w:t xml:space="preserve"> </w:t>
      </w:r>
      <w:r>
        <w:t xml:space="preserve">Specifically, if drought tolerance is influenced independently by drought characteristics, species traits, and microenvironment, tree drought responses may be conserved, and therefore linearly predictable; for example, a species with low sensitivity to past droughts would be among the least sensitive species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more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and anomalous hot, dry conditions beyond the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This spectrum of species strategies in seasonally dry forests for demographic stability under hot dry seasons might have distinct consequences for sensitivity, based on drought characteristics.</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 leading to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larger trees have more exposed crowns although crown exposure can allow access to light and increase growth in normal years.</w:t>
      </w:r>
      <w:r>
        <w:t xml:space="preserve"> </w:t>
      </w:r>
      <w:r>
        <w:t xml:space="preserve">To some extent trees with belowground investment in larger and deeper root systems, or are in wetter locations have lower growth declines during drought because of continued access to water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Finally,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t xml:space="preserve"> </w:t>
      </w:r>
      <w:r>
        <w:t xml:space="preserve"> </w:t>
      </w:r>
      <w:r>
        <w:t xml:space="preserve">Drought characteristics may positively or negatively interfere with these evolutionary and physiological strategies, leading to consistent or heterogenous sensitivities across drought events.</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w:t>
      </w:r>
      <w:r>
        <w:t xml:space="preserve"> </w:t>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dendroband timeseries can have measurement biases because of processes besides woody growth like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wet season drought (2015-16 ENSO)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w:t>
      </w:r>
      <w:r>
        <w:t xml:space="preserve"> </w:t>
      </w:r>
      <w:r>
        <w:t xml:space="preserve">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encompass ecological complexity and covarying traits with environment like, but they also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38" w:name="references"/>
    <w:p>
      <w:pPr>
        <w:pStyle w:val="Heading1"/>
      </w:pPr>
      <w:r>
        <w:t xml:space="preserve">References</w:t>
      </w:r>
    </w:p>
    <w:bookmarkStart w:id="137"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9">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60"/>
    <w:bookmarkStart w:id="62"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1">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2"/>
    <w:bookmarkStart w:id="64"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3">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4"/>
    <w:bookmarkStart w:id="66"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6"/>
    <w:bookmarkStart w:id="68" w:name="ref-anderson-teixeira_carbon_2016"/>
    <w:p>
      <w:pPr>
        <w:pStyle w:val="Bibliography"/>
      </w:pPr>
      <w:r>
        <w:t xml:space="preserve">Anderson-Teixeira, K.J., Wang, M.M.H., McGarvey, J.C. &amp; LeBauer, D.S. (2016).</w:t>
      </w:r>
      <w:r>
        <w:t xml:space="preserve"> </w:t>
      </w:r>
      <w:hyperlink r:id="rId67">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8"/>
    <w:bookmarkStart w:id="70"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9">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70"/>
    <w:bookmarkStart w:id="72"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1">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2"/>
    <w:bookmarkStart w:id="74" w:name="ref-bennett_larger_2015"/>
    <w:p>
      <w:pPr>
        <w:pStyle w:val="Bibliography"/>
      </w:pPr>
      <w:r>
        <w:t xml:space="preserve">Bennett, A.C., McDowell, N.G., Allen, C.D. &amp; Anderson-Teixeira, K.J. (2015).</w:t>
      </w:r>
      <w:r>
        <w:t xml:space="preserve"> </w:t>
      </w:r>
      <w:hyperlink r:id="rId73">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4"/>
    <w:bookmarkStart w:id="76"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5">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6"/>
    <w:bookmarkStart w:id="78"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7">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8"/>
    <w:bookmarkStart w:id="80" w:name="ref-bürkner_brms_2017"/>
    <w:p>
      <w:pPr>
        <w:pStyle w:val="Bibliography"/>
      </w:pPr>
      <w:r>
        <w:t xml:space="preserve">Bürkner, P.-C. (2017).</w:t>
      </w:r>
      <w:r>
        <w:t xml:space="preserve"> </w:t>
      </w:r>
      <w:hyperlink r:id="rId79">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80"/>
    <w:bookmarkStart w:id="81"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1"/>
    <w:bookmarkStart w:id="83" w:name="ref-chitra-tarak_it_2015"/>
    <w:p>
      <w:pPr>
        <w:pStyle w:val="Bibliography"/>
      </w:pPr>
      <w:r>
        <w:t xml:space="preserve">Chitra-Tarak, R., Ruiz, L., Pulla, S., Dattaraja, H.S., Suresh, H.S. &amp; Sukumar, R. (2015).</w:t>
      </w:r>
      <w:r>
        <w:t xml:space="preserve"> </w:t>
      </w:r>
      <w:hyperlink r:id="rId82">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3"/>
    <w:bookmarkStart w:id="85"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4">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5"/>
    <w:bookmarkStart w:id="87" w:name="ref-clark_annual_2021"/>
    <w:p>
      <w:pPr>
        <w:pStyle w:val="Bibliography"/>
      </w:pPr>
      <w:r>
        <w:t xml:space="preserve">Clark, D.A., Clark, D.B. &amp; Oberbauer, S.F. (2021).</w:t>
      </w:r>
      <w:r>
        <w:t xml:space="preserve"> </w:t>
      </w:r>
      <w:hyperlink r:id="rId86">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7"/>
    <w:bookmarkStart w:id="89" w:name="ref-clark_annual_2010"/>
    <w:p>
      <w:pPr>
        <w:pStyle w:val="Bibliography"/>
      </w:pPr>
      <w:r>
        <w:t xml:space="preserve">Clark, D.B., Clark, D.A. &amp; Oberbauer, S.F. (2010).</w:t>
      </w:r>
      <w:r>
        <w:t xml:space="preserve"> </w:t>
      </w:r>
      <w:hyperlink r:id="rId88">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9"/>
    <w:bookmarkStart w:id="91" w:name="ref-dahinden_future_2017"/>
    <w:p>
      <w:pPr>
        <w:pStyle w:val="Bibliography"/>
      </w:pPr>
      <w:r>
        <w:t xml:space="preserve">Dahinden, F., Fischer, E.M. &amp; Knutti, R. (2017).</w:t>
      </w:r>
      <w:r>
        <w:t xml:space="preserve"> </w:t>
      </w:r>
      <w:hyperlink r:id="rId9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1"/>
    <w:bookmarkStart w:id="93" w:name="ref-desouza_drought_2020"/>
    <w:p>
      <w:pPr>
        <w:pStyle w:val="Bibliography"/>
      </w:pPr>
      <w:r>
        <w:t xml:space="preserve">De Souza, B.C., Carvalho, E.C.D., Oliveira, R.S., De Araujo, F.S., De Lima, A.L.A. &amp; Rodal, M.J.N. (2020).</w:t>
      </w:r>
      <w:r>
        <w:t xml:space="preserve"> </w:t>
      </w:r>
      <w:hyperlink r:id="rId9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6">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7"/>
    <w:bookmarkStart w:id="99"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8">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9"/>
    <w:bookmarkStart w:id="101"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100">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1"/>
    <w:bookmarkStart w:id="103" w:name="X608d8d4a570d30e5ebf1004023d829f5ff2ec75"/>
    <w:p>
      <w:pPr>
        <w:pStyle w:val="Bibliography"/>
      </w:pPr>
      <w:r>
        <w:t xml:space="preserve">Intergovernmental Panel On Climate Change (Ipcc).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weifel_are_2016"/>
    <w:p>
      <w:pPr>
        <w:pStyle w:val="Bibliography"/>
      </w:pPr>
      <w:r>
        <w:t xml:space="preserve">Zweifel, R., Haeni, M., Buchmann, N. &amp; Eugster, W. (2016).</w:t>
      </w:r>
      <w:r>
        <w:t xml:space="preserve"> </w:t>
      </w:r>
      <w:hyperlink r:id="rId135">
        <w:r>
          <w:rPr>
            <w:rStyle w:val="Hyperlink"/>
          </w:rPr>
          <w:t xml:space="preserve">Are trees able to grow in periods of stem shrinkage?</w:t>
        </w:r>
      </w:hyperlink>
      <w:r>
        <w:t xml:space="preserve"> </w:t>
      </w:r>
      <w:r>
        <w:rPr>
          <w:iCs/>
          <w:i/>
        </w:rPr>
        <w:t xml:space="preserve">New Phytologist</w:t>
      </w:r>
      <w:r>
        <w:t xml:space="preserve">, 211, 839–849.</w:t>
      </w:r>
    </w:p>
    <w:bookmarkEnd w:id="136"/>
    <w:bookmarkEnd w:id="137"/>
    <w:bookmarkEnd w:id="13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12" Target="https://doi.org/10.1002/2017GL076521"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2025-04-01T23:01:59Z</dcterms:created>
  <dcterms:modified xsi:type="dcterms:W3CDTF">2025-04-01T23:01:59Z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