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species adaptations, individual microenvironments, and drought characteristics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 </w:t>
      </w:r>
      <w:r>
        <w:t xml:space="preserve">to predict the drought sensitivity of tree growth in two climatically distinct droughts.</w:t>
      </w:r>
      <w:r>
        <w:t xml:space="preserve"> </w:t>
      </w:r>
      <w:r>
        <w:t xml:space="preserve">Species and stems exhibited a wide range of drought sensitivities within a drought event, and inconsistent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Although exposed trees were more sensitive, access to water through larger size or topographic location buffered growth declines.</w:t>
      </w:r>
      <w:r>
        <w:t xml:space="preserve"> </w:t>
      </w:r>
      <w:r>
        <w:t xml:space="preserve">Heterogenous responses of species and individuals to droughts indicate potential spatiotemporal insurance effects in diverse forests in the face of increased climate anomalies.</w:t>
      </w:r>
    </w:p>
    <w:p>
      <w:r>
        <w:br w:type="page"/>
      </w:r>
    </w:p>
    <w:bookmarkEnd w:id="23"/>
    <w:bookmarkStart w:id="24" w:name="introduction"/>
    <w:p>
      <w:pPr>
        <w:pStyle w:val="Heading1"/>
      </w:pPr>
      <w:r>
        <w:t xml:space="preserve">Introduction</w:t>
      </w:r>
    </w:p>
    <w:p>
      <w:pPr>
        <w:pStyle w:val="FirstParagraph"/>
      </w:pPr>
      <w:r>
        <w:t xml:space="preserve">Tropical tree woody growth has long-lasting impacts on the terrestrial carbon pool, but it may be vulnerable to climate anomalies like drought.</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Seasonally dry tropical forests are especially vulnerable to ecological impacts of drought, being at the edge of plant thermal and water stress tolerance</w:t>
      </w:r>
      <w:r>
        <w:t xml:space="preserve"> </w:t>
      </w:r>
      <w:r>
        <w:t xml:space="preserve">(Allen</w:t>
      </w:r>
      <w:r>
        <w:t xml:space="preserve"> </w:t>
      </w:r>
      <w:r>
        <w:rPr>
          <w:iCs/>
          <w:i/>
        </w:rPr>
        <w:t xml:space="preserve">et al.</w:t>
      </w:r>
      <w:r>
        <w:t xml:space="preserve"> </w:t>
      </w:r>
      <w:r>
        <w:t xml:space="preserve">2017)</w:t>
      </w:r>
      <w:r>
        <w:t xml:space="preserve">.</w:t>
      </w:r>
      <w:r>
        <w:t xml:space="preserve"> </w:t>
      </w:r>
      <w:r>
        <w:t xml:space="preserve">- Within a stand, drought sensitivity varies among species and individuals, but the extent and drivers of this variation in drought responses is poorly understood.</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Seasonally dry tropical forests can be vulnerable to droughts, despite trees being adapted to strong dry seasons.</w:t>
      </w:r>
      <w:r>
        <w:br/>
      </w:r>
      <w:r>
        <w:t xml:space="preserve">- Trees in seasonally dry forests are routinely exposed to hot, dry conditions in the dry season and may have evolutionary strategies like dry-season deciduousness and drought deciduousness for survival.</w:t>
      </w:r>
      <w:r>
        <w:br/>
      </w:r>
      <w:r>
        <w:t xml:space="preserve">- However, across the global tropics, drier forests show stronger sensitivities to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One potential reason - thermal/water stress tolerance thresholds crossed</w:t>
      </w:r>
      <w:r>
        <w:t xml:space="preserve"> </w:t>
      </w:r>
      <w:r>
        <w:t xml:space="preserve">(Allen</w:t>
      </w:r>
      <w:r>
        <w:t xml:space="preserve"> </w:t>
      </w:r>
      <w:r>
        <w:rPr>
          <w:iCs/>
          <w:i/>
        </w:rPr>
        <w:t xml:space="preserve">et al.</w:t>
      </w:r>
      <w:r>
        <w:t xml:space="preserve"> </w:t>
      </w:r>
      <w:r>
        <w:t xml:space="preserve">2017)</w:t>
      </w:r>
      <w:r>
        <w:t xml:space="preserve">.</w:t>
      </w:r>
      <w:r>
        <w:br/>
      </w:r>
      <w:r>
        <w:t xml:space="preserve">- Another reason: drought events are climatically different in timing and intensity, with trees exposed to drought conditions in different parts of their seasonal phenologies.</w:t>
      </w:r>
      <w:r>
        <w:br/>
      </w:r>
      <w:r>
        <w:t xml:space="preserve">- Morevoer, besides broad patterns at the stand level, species- and individual-level heterogeneity can lead to divergent responses with consequences for stand composition.</w:t>
      </w:r>
      <w:r>
        <w:br/>
      </w:r>
      <w:r>
        <w:t xml:space="preserve">- Some of the discrepancies between expectations from trees and observations at the stand-level may be resolved by considering factors that determine drought sensitivity across species and individuals</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may tradeoff with advantages in normal years.</w:t>
      </w:r>
      <w:r>
        <w:t xml:space="preserve"> </w:t>
      </w:r>
      <w:r>
        <w:t xml:space="preserve">- To understand drought sensitivity representative of stand diversity, trees across these strategies need to be analysed.</w:t>
      </w:r>
      <w:r>
        <w:t xml:space="preserve"> </w:t>
      </w:r>
      <w:r>
        <w:t xml:space="preserve"> </w:t>
      </w:r>
    </w:p>
    <w:p>
      <w:pPr>
        <w:pStyle w:val="BodyText"/>
      </w:pPr>
      <w:r>
        <w:t xml:space="preserve">Drought sensitivity representative of stand diversity in seasonally dry tropical forests is difficult to assess using standard methods.</w:t>
      </w:r>
      <w:r>
        <w:br/>
      </w:r>
      <w:r>
        <w:t xml:space="preserve">- Annual tree rings - found in SDTFs but not many species,</w:t>
      </w:r>
      <w:r>
        <w:br/>
      </w:r>
      <w:r>
        <w:t xml:space="preserve">- Species with rings represent specific strategy to water use and growth - and often affiliated to drier microenvironments.</w:t>
      </w:r>
      <w:r>
        <w:br/>
      </w:r>
      <w:r>
        <w:t xml:space="preserve">- Tape measurements - more representative, but may not be annual because of effort</w:t>
      </w:r>
      <w:r>
        <w:br/>
      </w:r>
      <w:r>
        <w:t xml:space="preserve">- Even when tape measures are annual, not enough precision; error for each tape measure is 1mm, error for growth is at least 2mm. (Median annual growth across trees in HKK is ~1.4 mm, deviation from annual growth needs more precision).</w:t>
      </w:r>
      <w:r>
        <w:br/>
      </w:r>
      <w:r>
        <w:t xml:space="preserve">- In sum, these methods may only be capturing the most dramatic effects - the most severe droughts that affect ring-forming species or produce large-enough declines in fast-growing individuals.</w:t>
      </w:r>
      <w:r>
        <w:br/>
      </w:r>
      <w:r>
        <w:t xml:space="preserve">- Methods need to capture species strategies, distributions across microenvironments, and be precise enough.</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2"/>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4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80"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species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41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80"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individual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p>
      <w:pPr>
        <w:pStyle w:val="BodyText"/>
      </w:pPr>
      <w:r>
        <w:t xml:space="preserve">Here we examine individual tree growth during two known ENSO drought years within a 14-year record of dendrometer band measurements in a seasonally dry forest in Thailand to disentangle the drivers of tree growth sensitivity to drought.</w:t>
      </w:r>
      <w:r>
        <w:t xml:space="preserve"> </w:t>
      </w:r>
      <w:r>
        <w:t xml:space="preserve">We hypothesise that tropical tree drought sensitivity is jointly shaped by species adaptations, individual microenvironments and drought characteristics.</w:t>
      </w:r>
      <w:r>
        <w:t xml:space="preserve"> </w:t>
      </w:r>
      <w:r>
        <w:t xml:space="preserve"> </w:t>
      </w:r>
      <w:r>
        <w:t xml:space="preserve">Specifically, we expect that 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bookmarkEnd w:id="24"/>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6" name="Picture"/>
            <a:graphic>
              <a:graphicData uri="http://schemas.openxmlformats.org/drawingml/2006/picture">
                <pic:pic>
                  <pic:nvPicPr>
                    <pic:cNvPr descr="display/Fig1.png" id="27" name="Picture"/>
                    <pic:cNvPicPr>
                      <a:picLocks noChangeArrowheads="1" noChangeAspect="1"/>
                    </pic:cNvPicPr>
                  </pic:nvPicPr>
                  <pic:blipFill>
                    <a:blip r:embed="rId25"/>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8">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50"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bookmarkEnd w:id="39"/>
    <w:bookmarkStart w:id="44"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3">
        <w:r>
          <w:rPr>
            <w:rStyle w:val="Hyperlink"/>
          </w:rPr>
          <w:t xml:space="preserve">https://github.com/forestgeo/growth-precip-thailand/issues/13</w:t>
        </w:r>
      </w:hyperlink>
    </w:p>
    <w:bookmarkEnd w:id="44"/>
    <w:bookmarkStart w:id="49" w:name="variation-among-individuals"/>
    <w:p>
      <w:pPr>
        <w:pStyle w:val="Heading2"/>
      </w:pPr>
      <w:r>
        <w:t xml:space="preserve">Variation among individuals</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6" name="Picture"/>
            <a:graphic>
              <a:graphicData uri="http://schemas.openxmlformats.org/drawingml/2006/picture">
                <pic:pic>
                  <pic:nvPicPr>
                    <pic:cNvPr descr="display/Fig5.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8">
        <w:r>
          <w:rPr>
            <w:rStyle w:val="Hyperlink"/>
          </w:rPr>
          <w:t xml:space="preserve">https://github.com/forestgeo/growth-precip-thailand/issues/14</w:t>
        </w:r>
      </w:hyperlink>
    </w:p>
    <w:bookmarkEnd w:id="49"/>
    <w:bookmarkEnd w:id="50"/>
    <w:bookmarkStart w:id="51"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1"/>
    <w:bookmarkStart w:id="52"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2"/>
    <w:bookmarkStart w:id="53" w:name="competing-interests"/>
    <w:p>
      <w:pPr>
        <w:pStyle w:val="Heading1"/>
      </w:pPr>
      <w:r>
        <w:t xml:space="preserve">Competing interests</w:t>
      </w:r>
    </w:p>
    <w:bookmarkEnd w:id="53"/>
    <w:bookmarkStart w:id="54" w:name="author-contributions"/>
    <w:p>
      <w:pPr>
        <w:pStyle w:val="Heading1"/>
      </w:pPr>
      <w:r>
        <w:t xml:space="preserve">Author contributions</w:t>
      </w:r>
    </w:p>
    <w:bookmarkEnd w:id="54"/>
    <w:bookmarkStart w:id="55" w:name="data-availability"/>
    <w:p>
      <w:pPr>
        <w:pStyle w:val="Heading1"/>
      </w:pPr>
      <w:r>
        <w:t xml:space="preserve">Data availability</w:t>
      </w:r>
    </w:p>
    <w:p>
      <w:r>
        <w:br w:type="page"/>
      </w:r>
    </w:p>
    <w:bookmarkEnd w:id="55"/>
    <w:bookmarkStart w:id="99" w:name="references"/>
    <w:p>
      <w:pPr>
        <w:pStyle w:val="Heading1"/>
      </w:pPr>
      <w:r>
        <w:t xml:space="preserve">References</w:t>
      </w:r>
    </w:p>
    <w:bookmarkStart w:id="98" w:name="refs"/>
    <w:bookmarkStart w:id="57"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6">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7"/>
    <w:bookmarkStart w:id="59"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8">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2">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8">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9"/>
    <w:bookmarkStart w:id="71" w:name="ref-dahinden_future_2017"/>
    <w:p>
      <w:pPr>
        <w:pStyle w:val="Bibliography"/>
      </w:pPr>
      <w:r>
        <w:t xml:space="preserve">Dahinden, F., Fischer, E.M. &amp; Knutti, R. (2017).</w:t>
      </w:r>
      <w:r>
        <w:t xml:space="preserve"> </w:t>
      </w:r>
      <w:hyperlink r:id="rId7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1"/>
    <w:bookmarkStart w:id="73" w:name="ref-desouza_drought_2020"/>
    <w:p>
      <w:pPr>
        <w:pStyle w:val="Bibliography"/>
      </w:pPr>
      <w:r>
        <w:t xml:space="preserve">De Souza, B.C., Carvalho, E.C.D., Oliveira, R.S., De Araujo, F.S., De Lima, A.L.A. &amp; Rodal, M.J.N. (2020).</w:t>
      </w:r>
      <w:r>
        <w:t xml:space="preserve"> </w:t>
      </w:r>
      <w:hyperlink r:id="rId7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3"/>
    <w:bookmarkStart w:id="7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5"/>
    <w:bookmarkStart w:id="7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6"/>
    <w:bookmarkStart w:id="78" w:name="ref-luo_tropical_2022"/>
    <w:p>
      <w:pPr>
        <w:pStyle w:val="Bibliography"/>
      </w:pPr>
      <w:r>
        <w:t xml:space="preserve">Luo, X. &amp; Keenan, T.F. (2022).</w:t>
      </w:r>
      <w:r>
        <w:t xml:space="preserve"> </w:t>
      </w:r>
      <w:hyperlink r:id="rId7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78"/>
    <w:bookmarkStart w:id="80" w:name="ref-machado_forest_2023"/>
    <w:p>
      <w:pPr>
        <w:pStyle w:val="Bibliography"/>
      </w:pPr>
      <w:r>
        <w:t xml:space="preserve">Machado, S., Valle, D., Toh, K.B. &amp; Johnson, D.J. (2023).</w:t>
      </w:r>
      <w:r>
        <w:t xml:space="preserve"> </w:t>
      </w:r>
      <w:hyperlink r:id="rId79">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0"/>
    <w:bookmarkStart w:id="81" w:name="ref-muller-landau_metal_2008"/>
    <w:p>
      <w:pPr>
        <w:pStyle w:val="Bibliography"/>
      </w:pPr>
      <w:r>
        <w:t xml:space="preserve">Muller-Landau, H.C. (2008). Metal</w:t>
      </w:r>
      <w:r>
        <w:t xml:space="preserve"> </w:t>
      </w:r>
      <w:r>
        <w:t xml:space="preserve">Band Dendrometer Protocol</w:t>
      </w:r>
      <w:r>
        <w:t xml:space="preserve">.</w:t>
      </w:r>
    </w:p>
    <w:bookmarkEnd w:id="81"/>
    <w:bookmarkStart w:id="83" w:name="ref-muller-landau_patterns_2021"/>
    <w:p>
      <w:pPr>
        <w:pStyle w:val="Bibliography"/>
      </w:pPr>
      <w:r>
        <w:t xml:space="preserve">Muller-Landau, H.C., Cushman, K.C., Arroyo, E.E., Martinez Cano, I., Anderson-Teixeira, K.J. &amp; Backiel, B. (2021).</w:t>
      </w:r>
      <w:r>
        <w:t xml:space="preserve"> </w:t>
      </w:r>
      <w:hyperlink r:id="rId82">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3"/>
    <w:bookmarkStart w:id="85" w:name="ref-nutiprapun_effects_2023"/>
    <w:p>
      <w:pPr>
        <w:pStyle w:val="Bibliography"/>
      </w:pPr>
      <w:r>
        <w:t xml:space="preserve">Nutiprapun, P., Hermhuk, S., Nanami, S., Itoh, A., Kanzaki, M. &amp; Marod, D. (2023).</w:t>
      </w:r>
      <w:r>
        <w:t xml:space="preserve"> </w:t>
      </w:r>
      <w:hyperlink r:id="rId84">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5"/>
    <w:bookmarkStart w:id="8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6"/>
    <w:bookmarkStart w:id="88" w:name="ref-rüger_growth_2011"/>
    <w:p>
      <w:pPr>
        <w:pStyle w:val="Bibliography"/>
      </w:pPr>
      <w:r>
        <w:t xml:space="preserve">Rüger, N., Berger, U., Hubbell, S.P., Vieilledent, G. &amp; Condit, R. (2011).</w:t>
      </w:r>
      <w:r>
        <w:t xml:space="preserve"> </w:t>
      </w:r>
      <w:hyperlink r:id="rId87">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88"/>
    <w:bookmarkStart w:id="9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8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0"/>
    <w:bookmarkStart w:id="92" w:name="ref-vlam_temperature_2014"/>
    <w:p>
      <w:pPr>
        <w:pStyle w:val="Bibliography"/>
      </w:pPr>
      <w:r>
        <w:t xml:space="preserve">Vlam, M., Baker, P.J., Bunyavejchewin, S. &amp; Zuidema, P.A. (2014).</w:t>
      </w:r>
      <w:r>
        <w:t xml:space="preserve"> </w:t>
      </w:r>
      <w:hyperlink r:id="rId9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2"/>
    <w:bookmarkStart w:id="94" w:name="ref-williams_deciduousness_2008"/>
    <w:p>
      <w:pPr>
        <w:pStyle w:val="Bibliography"/>
      </w:pPr>
      <w:r>
        <w:t xml:space="preserve">Williams, L.J., Bunyavejchewin, S. &amp; Baker, P.J. (2008).</w:t>
      </w:r>
      <w:r>
        <w:t xml:space="preserve"> </w:t>
      </w:r>
      <w:hyperlink r:id="rId9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4"/>
    <w:bookmarkStart w:id="9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95"/>
    <w:bookmarkStart w:id="97"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96">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97"/>
    <w:bookmarkEnd w:id="98"/>
    <w:bookmarkEnd w:id="9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8"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8"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2025-03-19T15:41:02Z</dcterms:created>
  <dcterms:modified xsi:type="dcterms:W3CDTF">2025-03-19T15:41:02Z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