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4989</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Droughts are increasingly impacting forests worldwide, threatening their critical carbon sink.</w:t>
      </w:r>
      <w:r>
        <w:t xml:space="preserve"> </w:t>
      </w:r>
      <w:r>
        <w:t xml:space="preserve">Tree species adaptations to hot and dry conditions – for example, dry season deciduousness in tropical seasonal forests – might confer drought resistance, but such resistance may be variable across microenvironments and drought events.</w:t>
      </w:r>
      <w:r>
        <w:t xml:space="preserve"> </w:t>
      </w:r>
      <w:r>
        <w:t xml:space="preserve">We analysed dendrometer band measurements on 1820 trees across 30 species in a seasonally dry forest in</w:t>
      </w:r>
      <w:r>
        <w:t xml:space="preserve"> </w:t>
      </w:r>
      <w:r>
        <w:t xml:space="preserve">Thailand</w:t>
      </w:r>
      <w:r>
        <w:t xml:space="preserve"> </w:t>
      </w:r>
      <w:r>
        <w:t xml:space="preserve">to assess tree growth responses to two climatically distinct droughts.</w:t>
      </w:r>
      <w:r>
        <w:t xml:space="preserve"> </w:t>
      </w:r>
      <w:r>
        <w:t xml:space="preserve">Species and individuals exhibited a wide range of drought responses within each drought and inconsistent responses across droughts.</w:t>
      </w:r>
      <w:r>
        <w:t xml:space="preserve"> </w:t>
      </w:r>
      <w:r>
        <w:t xml:space="preserve">Deciduous species were more sensitive to wet-season drought than evergreen species, and this difference was amplified in wetter microclimates.</w:t>
      </w:r>
      <w:r>
        <w:t xml:space="preserve"> </w:t>
      </w:r>
      <w:r>
        <w:t xml:space="preserve">Exposed trees were more sensitive, but presumed greater water access through larger size or wetter topographic positions buffered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Globally, intense drought is becoming more frequent, affecting forest demography, diversity, and carbon (C) cycling</w:t>
      </w:r>
      <w:r>
        <w:t xml:space="preserve"> </w:t>
      </w:r>
      <w:r>
        <w:t xml:space="preserve">(IPCC 2023)</w:t>
      </w:r>
      <w:r>
        <w:t xml:space="preserve">.</w:t>
      </w:r>
      <w:r>
        <w:t xml:space="preserve"> </w:t>
      </w:r>
      <w:r>
        <w:t xml:space="preserve">However, our ability to predict drought impacts on tree woody growth and resultant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While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w:t>
      </w:r>
      <w:r>
        <w:t xml:space="preserve"> </w:t>
      </w:r>
      <w:r>
        <w:rPr>
          <w:bCs/>
          <w:b/>
        </w:rPr>
        <w:t xml:space="preserve">refs?</w:t>
      </w:r>
      <w:r>
        <w:t xml:space="preserve"> </w:t>
      </w:r>
      <w:r>
        <w:t xml:space="preserve">)</w:t>
      </w:r>
      <w:r>
        <w:t xml:space="preserve">, droughts with different characteristics may in fact have very different effects on tree growth</w:t>
      </w:r>
      <w:r>
        <w:t xml:space="preserve"> </w:t>
      </w:r>
      <w:r>
        <w:t xml:space="preserve">(</w:t>
      </w:r>
      <w:r>
        <w:rPr>
          <w:bCs/>
          <w:b/>
        </w:rPr>
        <w:t xml:space="preserve">refs?</w:t>
      </w:r>
      <w:r>
        <w:t xml:space="preserve">)</w:t>
      </w:r>
      <w:r>
        <w:t xml:space="preserve">.</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w:t>
      </w:r>
      <w:r>
        <w:rPr>
          <w:bCs/>
          <w:b/>
        </w:rPr>
        <w:t xml:space="preserve">refs?</w:t>
      </w:r>
      <w:r>
        <w:t xml:space="preserve">)</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w:t>
      </w:r>
      <w:r>
        <w:t xml:space="preserve"> </w:t>
      </w:r>
      <w:r>
        <w:t xml:space="preserve">(</w:t>
      </w:r>
      <w:r>
        <w:rPr>
          <w:bCs/>
          <w:b/>
        </w:rPr>
        <w:t xml:space="preserve">refs?</w:t>
      </w:r>
      <w:r>
        <w:t xml:space="preserve">)</w:t>
      </w:r>
      <w:r>
        <w:t xml:space="preserve"> </w:t>
      </w:r>
      <w:r>
        <w:t xml:space="preserve">and thereby potential to access more reliable water sources</w:t>
      </w:r>
      <w:r>
        <w:t xml:space="preserve"> </w:t>
      </w:r>
      <w:r>
        <w:t xml:space="preserve">(</w:t>
      </w:r>
      <w:r>
        <w:rPr>
          <w:bCs/>
          <w:b/>
        </w:rPr>
        <w:t xml:space="preserve">refs?</w:t>
      </w:r>
      <w:r>
        <w:t xml:space="preserve">)</w:t>
      </w:r>
      <w:r>
        <w:t xml:space="preserve">.</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in press;</w:t>
      </w:r>
      <w:r>
        <w:t xml:space="preserve"> </w:t>
      </w:r>
      <w:r>
        <w:rPr>
          <w:bCs/>
          <w:b/>
        </w:rPr>
        <w:t xml:space="preserve">mcdowell_darcy_2015?</w:t>
      </w:r>
      <w:r>
        <w:t xml:space="preserve">)</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topographic location or tree size (and corresponding rooting volume),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6-mo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extreme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Species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5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crown exposure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Fig 4, 5</w:t>
            </w:r>
          </w:p>
        </w:tc>
      </w:tr>
      <w:tr>
        <w:trPr>
          <w:trHeight w:val="577"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w:t>
      </w:r>
      <w:r>
        <w:t xml:space="preserve"> </w:t>
      </w:r>
      <w:r>
        <w:rPr>
          <w:bCs/>
          <w:b/>
        </w:rPr>
        <w:t xml:space="preserve">refs_ENSO?</w:t>
      </w:r>
      <w:r>
        <w:t xml:space="preserve">)</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For analysis, we focussed on 30 of the most abundant species in the plot.</w:t>
      </w:r>
      <w:r>
        <w:br/>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at four different time scales for each month in 2010 and 2015.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at four different time scales for each month in 2010 and 2015. A</w:t>
      </w:r>
      <w:r>
        <w:t xml:space="preserve"> </w:t>
      </w:r>
      <w:r>
        <w:rPr>
          <w:iCs/>
          <w:i/>
        </w:rPr>
        <w:t xml:space="preserve">k</w:t>
      </w:r>
      <w:r>
        <w:t xml:space="preserve">-month SPEI integrates over</w:t>
      </w:r>
      <w:r>
        <w:t xml:space="preserve"> </w:t>
      </w:r>
      <w:r>
        <w:rPr>
          <w:iCs/>
          <w:i/>
        </w:rPr>
        <w:t xml:space="preserve">k</w:t>
      </w:r>
      <w:r>
        <w:t xml:space="preserve"> </w:t>
      </w:r>
      <w:r>
        <w:t xml:space="preserve">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based on two drought indices and corroborated by meteorological data, local expertise, and plot-level growth responses.</w:t>
      </w:r>
      <w:r>
        <w:t xml:space="preserve"> </w:t>
      </w:r>
      <w:r>
        <w:t xml:space="preserve">Within the dendroband timeseries, two ENSO events had occurred; 2010 was a moderate ENSO event while 2015 was a very strong ENSO event</w:t>
      </w:r>
      <w:r>
        <w:t xml:space="preserve"> </w:t>
      </w:r>
      <w:r>
        <w:t xml:space="preserve">(</w:t>
      </w:r>
      <w:r>
        <w:rPr>
          <w:bCs/>
          <w:b/>
        </w:rPr>
        <w:t xml:space="preserve">REF?</w:t>
      </w:r>
      <w:r>
        <w:t xml:space="preserve">)</w:t>
      </w:r>
      <w:r>
        <w:t xml:space="preserve">.</w:t>
      </w:r>
      <w:r>
        <w:t xml:space="preserve"> </w:t>
      </w:r>
      <w:r>
        <w:t xml:space="preserve"> </w:t>
      </w:r>
      <w:r>
        <w:t xml:space="preserve">We also calculate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1-month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rPr>
          <w:iCs/>
          <w:i/>
        </w:rPr>
        <w:t xml:space="preserve">(SPECIFY WHICH VARIABLES WERE OBTAINED FROM WHICH SOURCE, AND OTHER SOURCES.)</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crown leaf loss at maximum loss across individuals in the species, with a score ranging from 1 to 4 where 1 is most evergreen and 4 is most deciduous.</w:t>
      </w:r>
      <w:r>
        <w:t xml:space="preserve"> </w:t>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The 2010 drought peaked between February and May (dry season and beginning of wet season), with 1-month SPEI values below -1 and meteorological anomalies on the 15-day scale including lower precipitation (min anomaly</w:t>
      </w:r>
      <w:r>
        <w:t xml:space="preserve"> </w:t>
      </w:r>
      <w:r>
        <w:rPr>
          <w:bCs/>
          <w:b/>
        </w:rPr>
        <w:t xml:space="preserve">&lt;-1.5</w:t>
      </w:r>
      <w:r>
        <w:t xml:space="preserve"> </w:t>
      </w:r>
      <w:r>
        <w:t xml:space="preserve">SD), higher number of dry days (max anomaly</w:t>
      </w:r>
      <w:r>
        <w:t xml:space="preserve"> </w:t>
      </w:r>
      <w:r>
        <w:rPr>
          <w:bCs/>
          <w:b/>
        </w:rPr>
        <w:t xml:space="preserve">&gt;1.5</w:t>
      </w:r>
      <w:r>
        <w:t xml:space="preserve"> </w:t>
      </w:r>
      <w:r>
        <w:t xml:space="preserve">SD), higher maximum temperature (max anomaly +0.8 SD), and higher VPD (max anomaly</w:t>
      </w:r>
      <w:r>
        <w:t xml:space="preserve"> </w:t>
      </w:r>
      <w:r>
        <w:rPr>
          <w:bCs/>
          <w:b/>
        </w:rPr>
        <w:t xml:space="preserve">&gt;2</w:t>
      </w:r>
      <w:r>
        <w:t xml:space="preserve"> </w:t>
      </w:r>
      <w:r>
        <w:t xml:space="preserve">SD).</w:t>
      </w:r>
      <w:r>
        <w:t xml:space="preserve"> </w:t>
      </w:r>
      <w:r>
        <w:t xml:space="preserve">Multi-month SPEI values reached their minima in May, after which unusually wet conditions led to a fairly rapid recovery to normal conditions.</w:t>
      </w:r>
      <w:r>
        <w:t xml:space="preserve"> </w:t>
      </w:r>
      <w:r>
        <w:t xml:space="preserve">1- to 6-month SPEI values reached minima between -1.5 and -2, indicative of severe drought, while the 12-month values remained above -1, indicative of mild drought.</w:t>
      </w:r>
    </w:p>
    <w:p>
      <w:pPr>
        <w:pStyle w:val="BodyText"/>
      </w:pPr>
      <w:r>
        <w:t xml:space="preserve">In 2015, pronounced meteorological anomalies on the 15-day scale occurred during the wet season, including in precipitation (min anomaly</w:t>
      </w:r>
      <w:r>
        <w:t xml:space="preserve"> </w:t>
      </w:r>
      <w:r>
        <w:rPr>
          <w:bCs/>
          <w:b/>
        </w:rPr>
        <w:t xml:space="preserve">&lt;-1.5</w:t>
      </w:r>
      <w:r>
        <w:t xml:space="preserve"> </w:t>
      </w:r>
      <w:r>
        <w:t xml:space="preserve">SD), number of dry days (max anomaly</w:t>
      </w:r>
      <w:r>
        <w:t xml:space="preserve"> </w:t>
      </w:r>
      <w:r>
        <w:rPr>
          <w:bCs/>
          <w:b/>
        </w:rPr>
        <w:t xml:space="preserve">&gt;1.5</w:t>
      </w:r>
      <w:r>
        <w:t xml:space="preserve"> </w:t>
      </w:r>
      <w:r>
        <w:t xml:space="preserve">SD), maximum temperature (max anomaly +1.5 SD), and VPD (max anomaly +2 SD).</w:t>
      </w:r>
      <w:r>
        <w:t xml:space="preserve"> </w:t>
      </w:r>
      <w:r>
        <w:t xml:space="preserve">1-month SPEI was &lt;-1 in May and June, reaching -2 in May, the lowest in the the entire dendroband census time period.</w:t>
      </w:r>
      <w:r>
        <w:t xml:space="preserve"> </w:t>
      </w:r>
      <w:r>
        <w:t xml:space="preserve">Multi-month SPEI values reached their minima between June and August and remained negative into the subsequent dry season.</w:t>
      </w:r>
      <w:r>
        <w:t xml:space="preserve"> </w:t>
      </w:r>
      <w:r>
        <w:t xml:space="preserve">1- to 6-month SPEI values reached minima &lt;2, indicative of extreme drought, while the 12-month values remained just above -2, indicative of severe drought.</w:t>
      </w:r>
    </w:p>
    <w:bookmarkEnd w:id="37"/>
    <w:bookmarkStart w:id="38" w:name="growth-timeseries-and-drought-responses"/>
    <w:p>
      <w:pPr>
        <w:pStyle w:val="Heading2"/>
      </w:pPr>
      <w:r>
        <w:t xml:space="preserve">Growth timeseries and drought responses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1.73</w:t>
      </w:r>
      <w:r>
        <w:t xml:space="preserve"> </w:t>
      </w:r>
      <m:oMath>
        <m:r>
          <m:rPr>
            <m:sty m:val="p"/>
          </m:rPr>
          <m:t>±</m:t>
        </m:r>
      </m:oMath>
      <w:r>
        <w:t xml:space="preserve"> </w:t>
      </w:r>
      <w:r>
        <w:t xml:space="preserve">2.79 mm.</w:t>
      </w:r>
      <w:r>
        <w:t xml:space="preserve"> </w:t>
      </w:r>
      <w:r>
        <w:t xml:space="preserve">Median annual increment differed by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t xml:space="preserve"> </w:t>
      </w:r>
    </w:p>
    <w:p>
      <w:pPr>
        <w:pStyle w:val="BodyText"/>
      </w:pPr>
      <w:r>
        <w:t xml:space="preserve">Drought years were associated with lower growth across the plot.</w:t>
      </w:r>
      <w:r>
        <w:t xml:space="preserve"> </w:t>
      </w:r>
      <w:r>
        <w:t xml:space="preserve">In 2010, the median annual increment was 1.5 mm, 13.33% lower than the median across all years.</w:t>
      </w:r>
      <w:r>
        <w:t xml:space="preserve"> </w:t>
      </w:r>
      <w:r>
        <w:t xml:space="preserve">The drought year 2015 had the lowest median annual increment 0.82 mm, 52.68% lower than the median across all years.</w:t>
      </w:r>
      <w:r>
        <w:t xml:space="preserve"> </w:t>
      </w:r>
      <w:r>
        <w:t xml:space="preserve">While median species responses to the 2010 drought were variable, all species had lower increment than a typical year in 2015.</w:t>
      </w:r>
      <w:r>
        <w:t xml:space="preserve"> </w:t>
      </w:r>
      <w:r>
        <w:t xml:space="preserve"> </w:t>
      </w:r>
      <w:r>
        <w:t xml:space="preserve"> </w:t>
      </w:r>
      <w:r>
        <w:t xml:space="preserve"> </w:t>
      </w:r>
    </w:p>
    <w:p>
      <w:pPr>
        <w:pStyle w:val="BodyText"/>
      </w:pPr>
      <w:r>
        <w:t xml:space="preserve">On average, trees had negative drought sensitivities for both droughts,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p>
    <w:bookmarkEnd w:id="38"/>
    <w:bookmarkStart w:id="43" w:name="species-effects"/>
    <w:p>
      <w:pPr>
        <w:pStyle w:val="Heading2"/>
      </w:pPr>
      <w:r>
        <w:t xml:space="preserve">Species effects</w:t>
      </w:r>
    </w:p>
    <w:p>
      <w:pPr>
        <w:pStyle w:val="FirstParagraph"/>
      </w:pP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p>
    <w:p>
      <w:pPr>
        <w:pStyle w:val="BodyText"/>
      </w:pPr>
      <w:r>
        <w:t xml:space="preserve">Deciduousness species had lower negative sensitivities in 2015, but not in 2010 (Fig 3a).</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 responses to drought were not correlated with each other (Fig S6).</w:t>
      </w:r>
    </w:p>
    <w:p>
      <w:pPr>
        <w:pStyle w:val="BodyText"/>
      </w:pPr>
      <w:r>
        <w:t xml:space="preserve">TWI had no significant on sensitivity in 2010 but a positive effect in 2015.</w:t>
      </w:r>
      <w:r>
        <w:t xml:space="preserve"> </w:t>
      </w:r>
      <w:r>
        <w:t xml:space="preserve">Specifically, 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differing effects of TWI on sensitivity in the two droughts, along with the influence of deciduousness, were confirmed by models that controlled for crown exposure and DBH as well as species variation in intercept and slopes (Fig 4a).</w:t>
      </w:r>
      <w:r>
        <w:t xml:space="preserve"> </w:t>
      </w:r>
      <w:r>
        <w:t xml:space="preserve">These models showed small negative sensitivities in wetter sites in 2010 (median effect =-0.04, 90% CI -0.09, 0.02), but a strong positive effect of TWI in 2015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increase with TWI (Fig 4c).</w:t>
      </w:r>
      <w:r>
        <w:t xml:space="preserve"> </w:t>
      </w:r>
      <w:r>
        <w:t xml:space="preserve">On the other hand, neither the mean sensitivities across species nor their response to TWI were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DBH was a significant predictor of crown exposure, with larger DBH associated with higher exposure categories in 2010 (median effect =4.02, 90% CI 3.75, 4.29) and 2015 (median effect =4.2, 90% CI 3.92, 4.49) (Fig 5a).</w:t>
      </w:r>
      <w:r>
        <w:t xml:space="preserve"> </w:t>
      </w:r>
      <w:r>
        <w:t xml:space="preserve">Controlling for this direct effect of exposure, the remaining effect of DBH</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at least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timeseries, we found lower-than-average growth in drought years, reflecting in lower plot-level growth (Fig 2).</w:t>
      </w:r>
      <w:r>
        <w:t xml:space="preserve"> </w:t>
      </w:r>
      <w:r>
        <w:t xml:space="preserve">Comparing 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wet season (2015) elicited stronger responses across trees, especially deciduous species that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While trees with more exposed crowns were consistently more sensitive to drought, additional effects of DBH – presumably including rooting volume and depth – were dissimilar between the drought events (Fig 4a).</w:t>
      </w:r>
      <w:r>
        <w:t xml:space="preserve"> </w:t>
      </w:r>
      <w:r>
        <w:t xml:space="preserve">In other words, water availability buffered exposure-associated growth declines through different mechanisms in the two different droughts; larger trees (with likely deeper roots) fared better in the dry-season drought while trees in wetter sites suffered smaller growth declines in the wet-season drought (Fig 5).</w:t>
      </w:r>
      <w:r>
        <w:t xml:space="preserve"> </w:t>
      </w:r>
      <w:r>
        <w:t xml:space="preserve">Taken together, these results indicate that joint and interactive effects of drought characteristics, species traits, and individual microenvironments produce enormous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magnitude and duration of meteorological extremes and anomalies, and severity as classified the SPEI metric (Fig. 1).</w:t>
      </w:r>
      <w:r>
        <w:t xml:space="preserve"> </w:t>
      </w:r>
      <w:r>
        <w:t xml:space="preserve">Thus, quantitative analyses parsing out the specific effects of drought characteristics (e.g., timing, degree of anomaly) are currently impossible.</w:t>
      </w:r>
      <w:r>
        <w:t xml:space="preserve"> </w:t>
      </w:r>
      <w:r>
        <w:t xml:space="preserve">While our finding that a wet-season drought (2015) had greater impact on woody growth than a dry-season drought (2010) calls into question the generality of previous findings based on tree-ring chronologies from HKK</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that tree growth is most sensitive to dry-season precipitation, care must be taken in interpretation given that the 2015 drought was more anomalous on multi-month time scales (Fig. 1).</w:t>
      </w:r>
      <w:r>
        <w:t xml:space="preserve"> </w:t>
      </w:r>
      <w:r>
        <w:t xml:space="preserve">Rigorous generalization on tropical tree growth responses to any specific drought characteristic would require annual growth records from numerous species over numerous droughts, but no such data set currently exists.</w:t>
      </w:r>
      <w:r>
        <w:t xml:space="preserve"> </w:t>
      </w:r>
      <w:r>
        <w:t xml:space="preserve">Studies in temperate forests, where extensive tree-ring records are available, have confirmed that drought characteristics including seasonal timing, duration, and severity affect tree growth responses</w:t>
      </w:r>
      <w:r>
        <w:t xml:space="preserve"> </w:t>
      </w:r>
      <w:r>
        <w:t xml:space="preserve">(</w:t>
      </w:r>
      <w:r>
        <w:rPr>
          <w:bCs/>
          <w:b/>
        </w:rPr>
        <w:t xml:space="preserve">gao_dynamic_2018?</w:t>
      </w:r>
      <w:r>
        <w:t xml:space="preserve">;</w:t>
      </w:r>
      <w:r>
        <w:t xml:space="preserve"> </w:t>
      </w:r>
      <w:r>
        <w:rPr>
          <w:bCs/>
          <w:b/>
        </w:rPr>
        <w:t xml:space="preserve">dorangeville_drought_2018?</w:t>
      </w:r>
      <w:r>
        <w:t xml:space="preserve">)</w:t>
      </w:r>
      <w:r>
        <w:t xml:space="preserve"> </w:t>
      </w:r>
      <w:r>
        <w:t xml:space="preserve">and that effects of species, species traits, tree size, and microenvironment can differ across droughts</w:t>
      </w:r>
      <w:r>
        <w:t xml:space="preserve"> </w:t>
      </w:r>
      <w:r>
        <w:t xml:space="preserve">(McGregor</w:t>
      </w:r>
      <w:r>
        <w:t xml:space="preserve"> </w:t>
      </w:r>
      <w:r>
        <w:rPr>
          <w:iCs/>
          <w:i/>
        </w:rPr>
        <w:t xml:space="preserve">et al.</w:t>
      </w:r>
      <w:r>
        <w:t xml:space="preserve"> </w:t>
      </w:r>
      <w:r>
        <w:t xml:space="preserve">2021)</w:t>
      </w:r>
      <w:r>
        <w:t xml:space="preserve">.</w:t>
      </w:r>
      <w:r>
        <w:t xml:space="preserve"> </w:t>
      </w:r>
      <w:r>
        <w:t xml:space="preserve">As tropical dendrometer band records continues to grow, so will the potential to better understand how specific drought characteristics interact with species traits and microenironment to shape growth respones.</w:t>
      </w:r>
    </w:p>
    <w:p>
      <w:pPr>
        <w:pStyle w:val="BodyText"/>
      </w:pPr>
      <w:r>
        <w:t xml:space="preserve">We have demonstrated that species identity and a key species adaptation (decidousness) interact with drought characteristics and microenvironment to shape drought responses in a dry tropical forest.</w:t>
      </w:r>
      <w:r>
        <w:t xml:space="preserve"> </w:t>
      </w:r>
      <w:r>
        <w:t xml:space="preserve">Tropical dry forests represent periodic hot/dry conditions, creating selective pressures for adaptative variation towards drought resistance, and this might mean that species in tropical dry forests exhibit a greater diversity of drought responess than species in other bioclimatic zones where adaptive pressures and thus ecological variability are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w:t>
      </w:r>
      <w:r>
        <w:t xml:space="preserve"> </w:t>
      </w:r>
      <w:r>
        <w:t xml:space="preserve">Again, continued expansion of dendrometer band records and ecophysiological study of tropical tree drought responses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One variable examined here – crown exposure – had a consistent effect across the two droughts (Table 1, Figs. 4, 5).</w:t>
      </w:r>
      <w:r>
        <w:t xml:space="preserve"> </w:t>
      </w:r>
      <w:r>
        <w:t xml:space="preserve">Trees with more exposed crowns exhibited greater growth declines in both droughts,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in almost any drought, a suite of species traits and microenvironmental characteristics modify growth responses in interaction with drought characteristics.</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two events; it’s growth nearly doubled in the dry-season drought but was severely reduced in the wet-season drought (Fig. S5).</w:t>
      </w:r>
      <w:r>
        <w:t xml:space="preserve"> </w:t>
      </w:r>
      <w:r>
        <w:t xml:space="preserve">More generally, tree-ring records are likely to give a biased picture of drought responses, as ring formation is caused by dry-season dormancy (often associated with deciduous leaf habit) and sampling often targets large trees with exposed crowns and dry microenvironments</w:t>
      </w:r>
      <w:r>
        <w:t xml:space="preserve"> </w:t>
      </w:r>
      <w:r>
        <w:t xml:space="preserve">(</w:t>
      </w:r>
      <w:r>
        <w:rPr>
          <w:bCs/>
          <w:b/>
        </w:rPr>
        <w:t xml:space="preserve">speer_fundamentals_2010?</w:t>
      </w:r>
      <w:r>
        <w:t xml:space="preserve">)</w:t>
      </w:r>
      <w:r>
        <w:t xml:space="preserve">– all factors shown here to directly and interactively influence drought sensitivity.</w:t>
      </w:r>
      <w:r>
        <w:t xml:space="preserve"> </w:t>
      </w:r>
      <w:r>
        <w:t xml:space="preserve">Our analyses reveal a complex heterogeneity of drought responses, including the contrasting influence of deciduousness in the two different droughts, showing that ecological and evolutionary strategies make particular species and trees resistant to some droughts but vulnerable to others.</w:t>
      </w:r>
      <w:r>
        <w:t xml:space="preserve"> </w:t>
      </w:r>
      <w:r>
        <w:t xml:space="preserve">These 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33" w:name="references"/>
    <w:p>
      <w:pPr>
        <w:pStyle w:val="Heading1"/>
      </w:pPr>
      <w:r>
        <w:t xml:space="preserve">References</w:t>
      </w:r>
    </w:p>
    <w:bookmarkStart w:id="132"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9"/>
    <w:bookmarkStart w:id="61"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0">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1"/>
    <w:bookmarkStart w:id="63" w:name="ref-bennett_larger_2015"/>
    <w:p>
      <w:pPr>
        <w:pStyle w:val="Bibliography"/>
      </w:pPr>
      <w:r>
        <w:t xml:space="preserve">Bennett, A.C., McDowell, N.G., Allen, C.D. &amp; Anderson-Teixeira, K.J. (2015).</w:t>
      </w:r>
      <w:r>
        <w:t xml:space="preserve"> </w:t>
      </w:r>
      <w:hyperlink r:id="rId62">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3"/>
    <w:bookmarkStart w:id="65"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4">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5"/>
    <w:bookmarkStart w:id="67"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6">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7"/>
    <w:bookmarkStart w:id="69" w:name="ref-bürkner_brms_2017"/>
    <w:p>
      <w:pPr>
        <w:pStyle w:val="Bibliography"/>
      </w:pPr>
      <w:r>
        <w:t xml:space="preserve">Bürkner, P.-C. (2017).</w:t>
      </w:r>
      <w:r>
        <w:t xml:space="preserve"> </w:t>
      </w:r>
      <w:hyperlink r:id="rId68">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69"/>
    <w:bookmarkStart w:id="70"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0"/>
    <w:bookmarkStart w:id="72"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1">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2"/>
    <w:bookmarkStart w:id="74" w:name="ref-clark_annual_2021"/>
    <w:p>
      <w:pPr>
        <w:pStyle w:val="Bibliography"/>
      </w:pPr>
      <w:r>
        <w:t xml:space="preserve">Clark, D.A., Clark, D.B. &amp; Oberbauer, S.F. (2021).</w:t>
      </w:r>
      <w:r>
        <w:t xml:space="preserve"> </w:t>
      </w:r>
      <w:hyperlink r:id="rId73">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4"/>
    <w:bookmarkStart w:id="76" w:name="ref-clark_annual_2010"/>
    <w:p>
      <w:pPr>
        <w:pStyle w:val="Bibliography"/>
      </w:pPr>
      <w:r>
        <w:t xml:space="preserve">Clark, D.B., Clark, D.A. &amp; Oberbauer, S.F. (2010).</w:t>
      </w:r>
      <w:r>
        <w:t xml:space="preserve"> </w:t>
      </w:r>
      <w:hyperlink r:id="rId75">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6"/>
    <w:bookmarkStart w:id="78" w:name="ref-dahinden_future_2017"/>
    <w:p>
      <w:pPr>
        <w:pStyle w:val="Bibliography"/>
      </w:pPr>
      <w:r>
        <w:t xml:space="preserve">Dahinden, F., Fischer, E.M. &amp; Knutti, R. (2017).</w:t>
      </w:r>
      <w:r>
        <w:t xml:space="preserve"> </w:t>
      </w:r>
      <w:hyperlink r:id="rId77">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78"/>
    <w:bookmarkStart w:id="80" w:name="ref-desouza_drought_2020"/>
    <w:p>
      <w:pPr>
        <w:pStyle w:val="Bibliography"/>
      </w:pPr>
      <w:r>
        <w:t xml:space="preserve">De Souza, B.C., Carvalho, E.C.D., Oliveira, R.S., De Araujo, F.S., De Lima, A.L.A. &amp; Rodal, M.J.N. (2020).</w:t>
      </w:r>
      <w:r>
        <w:t xml:space="preserve"> </w:t>
      </w:r>
      <w:hyperlink r:id="rId79">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0"/>
    <w:bookmarkStart w:id="82" w:name="ref-fernández-de-uña_role_inpress"/>
    <w:p>
      <w:pPr>
        <w:pStyle w:val="Bibliography"/>
      </w:pPr>
      <w:r>
        <w:t xml:space="preserve">Fernández-de-Uña, L., Martínez-Vilalta, J., Poyatos, R., Mencuccini, M. &amp; McDowell, N.G. (in press).</w:t>
      </w:r>
      <w:r>
        <w:t xml:space="preserve"> </w:t>
      </w:r>
      <w:hyperlink r:id="rId81">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n/a.</w:t>
      </w:r>
    </w:p>
    <w:bookmarkEnd w:id="82"/>
    <w:bookmarkStart w:id="84" w:name="ref-garcía-cervigón_climate_2020"/>
    <w:p>
      <w:pPr>
        <w:pStyle w:val="Bibliography"/>
      </w:pPr>
      <w:r>
        <w:t xml:space="preserve">García-Cervigón, A.I., Camarero, J.J., Cueva, E., Espinosa, C.I. &amp; Escudero, A. (2020).</w:t>
      </w:r>
      <w:r>
        <w:t xml:space="preserve"> </w:t>
      </w:r>
      <w:hyperlink r:id="rId83">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84"/>
    <w:bookmarkStart w:id="86"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85">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86"/>
    <w:bookmarkStart w:id="88"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87">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88"/>
    <w:bookmarkStart w:id="90" w:name="ref-ipcc_climate_2023"/>
    <w:p>
      <w:pPr>
        <w:pStyle w:val="Bibliography"/>
      </w:pPr>
      <w:r>
        <w:t xml:space="preserve">IPCC. (2023).</w:t>
      </w:r>
      <w:r>
        <w:t xml:space="preserve"> </w:t>
      </w:r>
      <w:hyperlink r:id="rId89">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0"/>
    <w:bookmarkStart w:id="92"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1">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2"/>
    <w:bookmarkStart w:id="93"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93"/>
    <w:bookmarkStart w:id="95" w:name="ref-liu_drought_2022"/>
    <w:p>
      <w:pPr>
        <w:pStyle w:val="Bibliography"/>
      </w:pPr>
      <w:r>
        <w:t xml:space="preserve">Liu, D., Wang, T., Peñuelas, J. &amp; Piao, S. (2022).</w:t>
      </w:r>
      <w:r>
        <w:t xml:space="preserve"> </w:t>
      </w:r>
      <w:hyperlink r:id="rId94">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5"/>
    <w:bookmarkStart w:id="97" w:name="ref-luo_tropical_2022"/>
    <w:p>
      <w:pPr>
        <w:pStyle w:val="Bibliography"/>
      </w:pPr>
      <w:r>
        <w:t xml:space="preserve">Luo, X. &amp; Keenan, T.F. (2022).</w:t>
      </w:r>
      <w:r>
        <w:t xml:space="preserve"> </w:t>
      </w:r>
      <w:hyperlink r:id="rId96">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7"/>
    <w:bookmarkStart w:id="99" w:name="ref-ma_tree_2023"/>
    <w:p>
      <w:pPr>
        <w:pStyle w:val="Bibliography"/>
      </w:pPr>
      <w:r>
        <w:t xml:space="preserve">Ma, Q., Su, Y., Niu, C., Ma, Q., Hu, T., Luo, X.,</w:t>
      </w:r>
      <w:r>
        <w:t xml:space="preserve"> </w:t>
      </w:r>
      <w:r>
        <w:rPr>
          <w:iCs/>
          <w:i/>
        </w:rPr>
        <w:t xml:space="preserve">et al.</w:t>
      </w:r>
      <w:r>
        <w:t xml:space="preserve"> (2023).</w:t>
      </w:r>
      <w:r>
        <w:t xml:space="preserve"> </w:t>
      </w:r>
      <w:hyperlink r:id="rId98">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9"/>
    <w:bookmarkStart w:id="101"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0">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1"/>
    <w:bookmarkStart w:id="102" w:name="ref-muller-landau_metal_2008"/>
    <w:p>
      <w:pPr>
        <w:pStyle w:val="Bibliography"/>
      </w:pPr>
      <w:r>
        <w:t xml:space="preserve">Muller-Landau, H.C. (2008). Metal</w:t>
      </w:r>
      <w:r>
        <w:t xml:space="preserve"> </w:t>
      </w:r>
      <w:r>
        <w:t xml:space="preserve">Band Dendrometer Protocol</w:t>
      </w:r>
      <w:r>
        <w:t xml:space="preserve">.</w:t>
      </w:r>
    </w:p>
    <w:bookmarkEnd w:id="102"/>
    <w:bookmarkStart w:id="104"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3">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4"/>
    <w:bookmarkStart w:id="106" w:name="ref-oliveira_linking_2021"/>
    <w:p>
      <w:pPr>
        <w:pStyle w:val="Bibliography"/>
      </w:pPr>
      <w:r>
        <w:t xml:space="preserve">Oliveira, R.S., Eller, C.B., Barros, F. de V., Hirota, M., Brum, M. &amp; Bittencourt, P. (2021).</w:t>
      </w:r>
      <w:r>
        <w:t xml:space="preserve"> </w:t>
      </w:r>
      <w:hyperlink r:id="rId105">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6"/>
    <w:bookmarkStart w:id="107"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7"/>
    <w:bookmarkStart w:id="109" w:name="ref-scharnweber_confessions_2019"/>
    <w:p>
      <w:pPr>
        <w:pStyle w:val="Bibliography"/>
      </w:pPr>
      <w:r>
        <w:t xml:space="preserve">Scharnweber, T., Heinze, L., Cruz-García, R., van der Maaten-Theunissen, M. &amp; Wilmking, M. (2019).</w:t>
      </w:r>
      <w:r>
        <w:t xml:space="preserve"> </w:t>
      </w:r>
      <w:hyperlink r:id="rId108">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09"/>
    <w:bookmarkStart w:id="111"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0">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1"/>
    <w:bookmarkStart w:id="113" w:name="ref-trugman_why_2021"/>
    <w:p>
      <w:pPr>
        <w:pStyle w:val="Bibliography"/>
      </w:pPr>
      <w:r>
        <w:t xml:space="preserve">Trugman, A.T., Anderegg, L.D.L., Anderegg, W.R.L., Das, A.J. &amp; Stephenson, N.L. (2021).</w:t>
      </w:r>
      <w:r>
        <w:t xml:space="preserve"> </w:t>
      </w:r>
      <w:hyperlink r:id="rId112">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3"/>
    <w:bookmarkStart w:id="115" w:name="ref-vasey_intraspecific_2022"/>
    <w:p>
      <w:pPr>
        <w:pStyle w:val="Bibliography"/>
      </w:pPr>
      <w:r>
        <w:t xml:space="preserve">Vasey, G.L., Weisberg, P.J. &amp; Urza, A.K. (2022).</w:t>
      </w:r>
      <w:r>
        <w:t xml:space="preserve"> </w:t>
      </w:r>
      <w:hyperlink r:id="rId114">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5"/>
    <w:bookmarkStart w:id="116"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16"/>
    <w:bookmarkStart w:id="118" w:name="ref-vicente-serrano_multiscalar_2010"/>
    <w:p>
      <w:pPr>
        <w:pStyle w:val="Bibliography"/>
      </w:pPr>
      <w:r>
        <w:t xml:space="preserve">Vicente-Serrano, S.M., Beguería, S. &amp; López-Moreno, J.I. (2010).</w:t>
      </w:r>
      <w:r>
        <w:t xml:space="preserve"> </w:t>
      </w:r>
      <w:hyperlink r:id="rId117">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18"/>
    <w:bookmarkStart w:id="120" w:name="ref-vico_how_2017a"/>
    <w:p>
      <w:pPr>
        <w:pStyle w:val="Bibliography"/>
      </w:pPr>
      <w:r>
        <w:t xml:space="preserve">Vico, G., Dralle, D., Feng, X., Thompson, S. &amp; Manzoni, S. (2017).</w:t>
      </w:r>
      <w:r>
        <w:t xml:space="preserve"> </w:t>
      </w:r>
      <w:hyperlink r:id="rId119">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0"/>
    <w:bookmarkStart w:id="122"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1">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2"/>
    <w:bookmarkStart w:id="124" w:name="ref-vlam_temperature_2014"/>
    <w:p>
      <w:pPr>
        <w:pStyle w:val="Bibliography"/>
      </w:pPr>
      <w:r>
        <w:t xml:space="preserve">Vlam, M., Baker, P.J., Bunyavejchewin, S. &amp; Zuidema, P.A. (2014).</w:t>
      </w:r>
      <w:r>
        <w:t xml:space="preserve"> </w:t>
      </w:r>
      <w:hyperlink r:id="rId123">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4"/>
    <w:bookmarkStart w:id="126" w:name="ref-williams_deciduousness_2008"/>
    <w:p>
      <w:pPr>
        <w:pStyle w:val="Bibliography"/>
      </w:pPr>
      <w:r>
        <w:t xml:space="preserve">Williams, L.J., Bunyavejchewin, S. &amp; Baker, P.J. (2008).</w:t>
      </w:r>
      <w:r>
        <w:t xml:space="preserve"> </w:t>
      </w:r>
      <w:hyperlink r:id="rId125">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26"/>
    <w:bookmarkStart w:id="127"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27"/>
    <w:bookmarkStart w:id="129"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28">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29"/>
    <w:bookmarkStart w:id="131" w:name="ref-zuleta_droughtinduced_2017"/>
    <w:p>
      <w:pPr>
        <w:pStyle w:val="Bibliography"/>
      </w:pPr>
      <w:r>
        <w:t xml:space="preserve">Zuleta, D., Duque, A., Cardenas, D., Muller-Landau, H.C. &amp; Davies, S.J. (2017).</w:t>
      </w:r>
      <w:r>
        <w:t xml:space="preserve"> </w:t>
      </w:r>
      <w:hyperlink r:id="rId130">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1"/>
    <w:bookmarkEnd w:id="132"/>
    <w:bookmarkEnd w:id="13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03" Target="https://doi.org/10.1002/2017GL076521" TargetMode="External" /><Relationship Type="http://schemas.openxmlformats.org/officeDocument/2006/relationships/hyperlink" Id="rId130" Target="https://doi.org/10.1002/ecy.1950" TargetMode="External" /><Relationship Type="http://schemas.openxmlformats.org/officeDocument/2006/relationships/hyperlink" Id="rId125" Target="https://doi.org/10.1007/s00442-007-0938-1" TargetMode="External" /><Relationship Type="http://schemas.openxmlformats.org/officeDocument/2006/relationships/hyperlink" Id="rId123" Target="https://doi.org/10.1007/s00442-013-2846-x" TargetMode="External" /><Relationship Type="http://schemas.openxmlformats.org/officeDocument/2006/relationships/hyperlink" Id="rId79" Target="https://doi.org/10.1007/s00442-020-04760-3" TargetMode="External" /><Relationship Type="http://schemas.openxmlformats.org/officeDocument/2006/relationships/hyperlink" Id="rId108" Target="https://doi.org/10.1016/j.dendro.2019.04.001" TargetMode="External" /><Relationship Type="http://schemas.openxmlformats.org/officeDocument/2006/relationships/hyperlink" Id="rId112" Target="https://doi.org/10.1016/j.tree.2021.02.001" TargetMode="External" /><Relationship Type="http://schemas.openxmlformats.org/officeDocument/2006/relationships/hyperlink" Id="rId89" Target="https://doi.org/10.1017/9781009157896" TargetMode="External" /><Relationship Type="http://schemas.openxmlformats.org/officeDocument/2006/relationships/hyperlink" Id="rId73" Target="https://doi.org/10.1029/2021JG006557" TargetMode="External" /><Relationship Type="http://schemas.openxmlformats.org/officeDocument/2006/relationships/hyperlink" Id="rId62" Target="https://doi.org/10.1038/nplants.2015.139" TargetMode="External" /><Relationship Type="http://schemas.openxmlformats.org/officeDocument/2006/relationships/hyperlink" Id="rId96" Target="https://doi.org/10.1038/s41467-022-28824-5" TargetMode="External" /><Relationship Type="http://schemas.openxmlformats.org/officeDocument/2006/relationships/hyperlink" Id="rId98" Target="https://doi.org/10.1038/s41467-023-43083-8" TargetMode="External" /><Relationship Type="http://schemas.openxmlformats.org/officeDocument/2006/relationships/hyperlink" Id="rId64"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28" Target="https://doi.org/10.1038/s41561-022-00911-8" TargetMode="External" /><Relationship Type="http://schemas.openxmlformats.org/officeDocument/2006/relationships/hyperlink" Id="rId94" Target="https://doi.org/10.1038/s41561-022-01026-w" TargetMode="External" /><Relationship Type="http://schemas.openxmlformats.org/officeDocument/2006/relationships/hyperlink" Id="rId119" Target="https://doi.org/10.1088/1748-9326/aa6f1b" TargetMode="External" /><Relationship Type="http://schemas.openxmlformats.org/officeDocument/2006/relationships/hyperlink" Id="rId77" Target="https://doi.org/10.1088/1748-9326/aa75d7" TargetMode="External" /><Relationship Type="http://schemas.openxmlformats.org/officeDocument/2006/relationships/hyperlink" Id="rId85"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110"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87" Target="https://doi.org/10.1111/gcb.16082" TargetMode="External" /><Relationship Type="http://schemas.openxmlformats.org/officeDocument/2006/relationships/hyperlink" Id="rId75" Target="https://doi.org/10.1111/j.1365-2486.2009.02004.x" TargetMode="External" /><Relationship Type="http://schemas.openxmlformats.org/officeDocument/2006/relationships/hyperlink" Id="rId114" Target="https://doi.org/10.1111/jbi.14515" TargetMode="External" /><Relationship Type="http://schemas.openxmlformats.org/officeDocument/2006/relationships/hyperlink" Id="rId83" Target="https://doi.org/10.1111/jvs.12840" TargetMode="External" /><Relationship Type="http://schemas.openxmlformats.org/officeDocument/2006/relationships/hyperlink" Id="rId100" Target="https://doi.org/10.1111/nph.16996" TargetMode="External" /><Relationship Type="http://schemas.openxmlformats.org/officeDocument/2006/relationships/hyperlink" Id="rId91" Target="https://doi.org/10.1111/nph.17187" TargetMode="External" /><Relationship Type="http://schemas.openxmlformats.org/officeDocument/2006/relationships/hyperlink" Id="rId105" Target="https://doi.org/10.1111/nph.17266" TargetMode="External" /><Relationship Type="http://schemas.openxmlformats.org/officeDocument/2006/relationships/hyperlink" Id="rId71" Target="https://doi.org/10.1111/nph.17464" TargetMode="External" /><Relationship Type="http://schemas.openxmlformats.org/officeDocument/2006/relationships/hyperlink" Id="rId121" Target="https://doi.org/10.1111/nph.18539" TargetMode="External" /><Relationship Type="http://schemas.openxmlformats.org/officeDocument/2006/relationships/hyperlink" Id="rId81" Target="https://doi.org/10.1111/nph.19130" TargetMode="External" /><Relationship Type="http://schemas.openxmlformats.org/officeDocument/2006/relationships/hyperlink" Id="rId66" Target="https://doi.org/10.1146/annurev-earth-082517-010235" TargetMode="External" /><Relationship Type="http://schemas.openxmlformats.org/officeDocument/2006/relationships/hyperlink" Id="rId117" Target="https://doi.org/10.1175/2009JCLI2909.1" TargetMode="External" /><Relationship Type="http://schemas.openxmlformats.org/officeDocument/2006/relationships/hyperlink" Id="rId6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3" Target="https://doi.org/10.1002/2017GL076521" TargetMode="External" /><Relationship Type="http://schemas.openxmlformats.org/officeDocument/2006/relationships/hyperlink" Id="rId130" Target="https://doi.org/10.1002/ecy.1950" TargetMode="External" /><Relationship Type="http://schemas.openxmlformats.org/officeDocument/2006/relationships/hyperlink" Id="rId125" Target="https://doi.org/10.1007/s00442-007-0938-1" TargetMode="External" /><Relationship Type="http://schemas.openxmlformats.org/officeDocument/2006/relationships/hyperlink" Id="rId123" Target="https://doi.org/10.1007/s00442-013-2846-x" TargetMode="External" /><Relationship Type="http://schemas.openxmlformats.org/officeDocument/2006/relationships/hyperlink" Id="rId79" Target="https://doi.org/10.1007/s00442-020-04760-3" TargetMode="External" /><Relationship Type="http://schemas.openxmlformats.org/officeDocument/2006/relationships/hyperlink" Id="rId108" Target="https://doi.org/10.1016/j.dendro.2019.04.001" TargetMode="External" /><Relationship Type="http://schemas.openxmlformats.org/officeDocument/2006/relationships/hyperlink" Id="rId112" Target="https://doi.org/10.1016/j.tree.2021.02.001" TargetMode="External" /><Relationship Type="http://schemas.openxmlformats.org/officeDocument/2006/relationships/hyperlink" Id="rId89" Target="https://doi.org/10.1017/9781009157896" TargetMode="External" /><Relationship Type="http://schemas.openxmlformats.org/officeDocument/2006/relationships/hyperlink" Id="rId73" Target="https://doi.org/10.1029/2021JG006557" TargetMode="External" /><Relationship Type="http://schemas.openxmlformats.org/officeDocument/2006/relationships/hyperlink" Id="rId62" Target="https://doi.org/10.1038/nplants.2015.139" TargetMode="External" /><Relationship Type="http://schemas.openxmlformats.org/officeDocument/2006/relationships/hyperlink" Id="rId96" Target="https://doi.org/10.1038/s41467-022-28824-5" TargetMode="External" /><Relationship Type="http://schemas.openxmlformats.org/officeDocument/2006/relationships/hyperlink" Id="rId98" Target="https://doi.org/10.1038/s41467-023-43083-8" TargetMode="External" /><Relationship Type="http://schemas.openxmlformats.org/officeDocument/2006/relationships/hyperlink" Id="rId64"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28" Target="https://doi.org/10.1038/s41561-022-00911-8" TargetMode="External" /><Relationship Type="http://schemas.openxmlformats.org/officeDocument/2006/relationships/hyperlink" Id="rId94" Target="https://doi.org/10.1038/s41561-022-01026-w" TargetMode="External" /><Relationship Type="http://schemas.openxmlformats.org/officeDocument/2006/relationships/hyperlink" Id="rId119" Target="https://doi.org/10.1088/1748-9326/aa6f1b" TargetMode="External" /><Relationship Type="http://schemas.openxmlformats.org/officeDocument/2006/relationships/hyperlink" Id="rId77" Target="https://doi.org/10.1088/1748-9326/aa75d7" TargetMode="External" /><Relationship Type="http://schemas.openxmlformats.org/officeDocument/2006/relationships/hyperlink" Id="rId85"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110"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87" Target="https://doi.org/10.1111/gcb.16082" TargetMode="External" /><Relationship Type="http://schemas.openxmlformats.org/officeDocument/2006/relationships/hyperlink" Id="rId75" Target="https://doi.org/10.1111/j.1365-2486.2009.02004.x" TargetMode="External" /><Relationship Type="http://schemas.openxmlformats.org/officeDocument/2006/relationships/hyperlink" Id="rId114" Target="https://doi.org/10.1111/jbi.14515" TargetMode="External" /><Relationship Type="http://schemas.openxmlformats.org/officeDocument/2006/relationships/hyperlink" Id="rId83" Target="https://doi.org/10.1111/jvs.12840" TargetMode="External" /><Relationship Type="http://schemas.openxmlformats.org/officeDocument/2006/relationships/hyperlink" Id="rId100" Target="https://doi.org/10.1111/nph.16996" TargetMode="External" /><Relationship Type="http://schemas.openxmlformats.org/officeDocument/2006/relationships/hyperlink" Id="rId91" Target="https://doi.org/10.1111/nph.17187" TargetMode="External" /><Relationship Type="http://schemas.openxmlformats.org/officeDocument/2006/relationships/hyperlink" Id="rId105" Target="https://doi.org/10.1111/nph.17266" TargetMode="External" /><Relationship Type="http://schemas.openxmlformats.org/officeDocument/2006/relationships/hyperlink" Id="rId71" Target="https://doi.org/10.1111/nph.17464" TargetMode="External" /><Relationship Type="http://schemas.openxmlformats.org/officeDocument/2006/relationships/hyperlink" Id="rId121" Target="https://doi.org/10.1111/nph.18539" TargetMode="External" /><Relationship Type="http://schemas.openxmlformats.org/officeDocument/2006/relationships/hyperlink" Id="rId81" Target="https://doi.org/10.1111/nph.19130" TargetMode="External" /><Relationship Type="http://schemas.openxmlformats.org/officeDocument/2006/relationships/hyperlink" Id="rId66" Target="https://doi.org/10.1146/annurev-earth-082517-010235" TargetMode="External" /><Relationship Type="http://schemas.openxmlformats.org/officeDocument/2006/relationships/hyperlink" Id="rId117" Target="https://doi.org/10.1175/2009JCLI2909.1" TargetMode="External" /><Relationship Type="http://schemas.openxmlformats.org/officeDocument/2006/relationships/hyperlink" Id="rId6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2025-04-14T13:55:40Z</dcterms:created>
  <dcterms:modified xsi:type="dcterms:W3CDTF">2025-04-14T13:55:40Z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