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4Thai Long-Term Forest Ecological Research, Kasetsart University, Bangkok, Thailand</w:t>
      </w:r>
      <w:r>
        <w:br/>
      </w:r>
      <w:r>
        <w:rPr>
          <w:vertAlign w:val="superscript"/>
        </w:rPr>
        <w:t xml:space="preserve">5</w:t>
      </w:r>
      <w:r>
        <w:t xml:space="preserve">5Department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5134</w:t>
      </w:r>
      <w:r>
        <w:br/>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p>
      <w:pPr>
        <w:pStyle w:val="FirstParagraph"/>
      </w:pPr>
      <w:r>
        <w:t xml:space="preserve">KA, SM,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 SJD, HMM and KAT.</w:t>
      </w:r>
      <w:r>
        <w:t xml:space="preserve"> </w:t>
      </w:r>
      <w:r>
        <w:t xml:space="preserve">KA wrote the original draft of the manuscript with support from KAT and SM.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three climatically distinct droughts.</w:t>
      </w:r>
      <w:r>
        <w:t xml:space="preserve"> </w:t>
      </w:r>
      <w:r>
        <w:t xml:space="preserve">Species and individuals exhibited a wide range of growth responses within each drought, and these responses differed in intensity and affect among the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our ability to predict drought impacts on tree woody growth and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any drought.</w:t>
      </w:r>
      <w:r>
        <w:t xml:space="preserve"> </w:t>
      </w:r>
      <w:r>
        <w:t xml:space="preserve">In contrast, if these factors interact, the species and individuals that exhibit resistance to one drought may prove more vulnerable in a different drought.</w:t>
      </w:r>
      <w:r>
        <w:t xml:space="preserve"> </w:t>
      </w:r>
      <w:r>
        <w:t xml:space="preserve">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have distinct effects on tree growth, especially in seasonal forests that have evolved phenological strategies to handle regular periods of climatic stress</w:t>
      </w:r>
      <w:r>
        <w:t xml:space="preserve"> </w:t>
      </w:r>
      <w:r>
        <w:t xml:space="preserve">(Albert</w:t>
      </w:r>
      <w:r>
        <w:t xml:space="preserve"> </w:t>
      </w:r>
      <w:r>
        <w:rPr>
          <w:iCs/>
          <w:i/>
        </w:rPr>
        <w:t xml:space="preserve">et al.</w:t>
      </w:r>
      <w:r>
        <w:t xml:space="preserve"> </w:t>
      </w:r>
      <w:r>
        <w:t xml:space="preserve">2019)</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With data on 1820 trees across 30 species we built Bayesian regression models in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excluded large measurement outliers (&gt; 3 standard deviations from the mean increment across all observations).</w:t>
      </w:r>
      <w:r>
        <w:t xml:space="preserve"> </w:t>
      </w:r>
      <w:r>
        <w:t xml:space="preserve">Diameter tape measurements themselves are not precise enough for calculating drought sensitivity; error for each measurement is 1 mm, error for growth is 2 mm.</w:t>
      </w:r>
      <w:r>
        <w:t xml:space="preserve"> </w:t>
      </w:r>
      <w:r>
        <w:t xml:space="preserve">In comparison, median annual growth across trees in HKK is ~1.4 mm and calculating deviation from annual growth needs sub-mm precision.</w:t>
      </w:r>
      <w:r>
        <w:t xml:space="preserve"> </w:t>
      </w:r>
      <w:r>
        <w:t xml:space="preserve">However, we used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from a 5 m x 5 m elevation layer collected at plot establishment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r>
        <w:t xml:space="preserve"> </w:t>
      </w:r>
      <w:r>
        <w:t xml:space="preserve">We centred and scaled TWI and DBH across the range of observed values.</w:t>
      </w:r>
    </w:p>
    <w:p>
      <w:pPr>
        <w:pStyle w:val="BodyText"/>
      </w:pPr>
      <w:r>
        <w:t xml:space="preserve">We assigned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species deciduousness as the mean over trees of the proportion of crown leaf loss at maximum, with a score ranging from 0 to 4 where 0 is most evergreen and 4 is most deciduous.</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using the duration of time spent at maximum crown loss as an alternative measure of deciduousness.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 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 seasons.</w:t>
      </w:r>
    </w:p>
    <w:bookmarkEnd w:id="37"/>
    <w:bookmarkStart w:id="38"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38"/>
    <w:bookmarkStart w:id="43"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While median species responses to the 2010 and 2020 droughts were variable, all species had lower median increment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r>
        <w:t xml:space="preserve"> </w:t>
      </w:r>
      <w:r>
        <w:t xml:space="preserve">In 2020, sensitivities ranged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pPr>
        <w:pStyle w:val="CaptionedFigure"/>
      </w:pPr>
      <w:r>
        <w:drawing>
          <wp:inline>
            <wp:extent cx="5943600" cy="5943600"/>
            <wp:effectExtent b="0" l="0" r="0" t="0"/>
            <wp:docPr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The test of whether individual trees responded similarly to the three drought events showed no correlation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and DBH as well as species variation in intercept and slopes (Fig 4a).</w:t>
      </w:r>
      <w:r>
        <w:t xml:space="preserve"> </w:t>
      </w:r>
      <w:r>
        <w:t xml:space="preserve">These models showed small negative effect of wetness in 2010 (median effect =-0.04, 90% CI -0.09, 0.02), but a positive effect of wetness in 2015 (median effect =0.05, 90% CI 0, 0.11) and 2020 (median effect =0.06, 90% CI 0.01, 0.12).</w:t>
      </w:r>
      <w:r>
        <w:t xml:space="preserve"> </w:t>
      </w:r>
      <w:r>
        <w:t xml:space="preserve"> </w:t>
      </w:r>
      <w:r>
        <w:t xml:space="preserve">Predictions across the range of observed variables also showed that deciduous species generally had larger negative sensitivities in 2015, which did not increase with TWI (Fig 4c).</w:t>
      </w:r>
      <w:r>
        <w:br/>
      </w:r>
      <w:r>
        <w:t xml:space="preserve">Mean sensitivities across species and their response to TWI were not associated with deciduousness in 2010 or 2020, mirroring the response in the interaction model.</w:t>
      </w:r>
    </w:p>
    <w:p>
      <w:pPr>
        <w:pStyle w:val="CaptionedFigure"/>
      </w:pPr>
      <w:r>
        <w:drawing>
          <wp:inline>
            <wp:extent cx="5943600" cy="594360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greater growth declines in all three droughts.</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p>
      <w:pPr>
        <w:pStyle w:val="CaptionedFigure"/>
      </w:pPr>
      <w:r>
        <w:drawing>
          <wp:inline>
            <wp:extent cx="5943600" cy="5943600"/>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severe drought in the wet 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suffered worse declines in wetter sites in 2015 and evergreen species suffered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two different droughts; larger trees fared better in the dry-season drought while trees in wetter sites suffered smaller growth declines in the wet-season drought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spatial and ecological variation realistically and beyond the scope of previous analyses, we are limited in quantitatively analysing differences associated with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extremes and anomalies, and severity as classified with SPEI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given that the 2015 drought was more anomalous on multi-month time scales (Fig. 1) does not align with this assumption.</w:t>
      </w:r>
      <w:r>
        <w:t xml:space="preserve"> </w:t>
      </w:r>
      <w:r>
        <w:t xml:space="preserve">Generalization of tropical tree growth responses to any specific drought seems to require fine-scale monitoring of growth (i.e., dendrometer band measurements or dendrochronology when possible) from species that might span drought strategies over different timings and intensities of droughts.</w:t>
      </w:r>
      <w:r>
        <w:t xml:space="preserve"> </w:t>
      </w:r>
      <w:r>
        <w:t xml:space="preserve">Advancing efforts to collect these data is critical to our assessment and prediction of drought responses of tropical forets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have demonstrated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DEB-[CHECK] to SJD) in completing this work.</w:t>
      </w:r>
    </w:p>
    <w:p>
      <w:r>
        <w:br w:type="page"/>
      </w:r>
    </w:p>
    <w:bookmarkEnd w:id="55"/>
    <w:bookmarkStart w:id="156" w:name="references"/>
    <w:p>
      <w:pPr>
        <w:pStyle w:val="Heading1"/>
      </w:pPr>
      <w:r>
        <w:t xml:space="preserve">References</w:t>
      </w:r>
    </w:p>
    <w:bookmarkStart w:id="155"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58">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59"/>
    <w:bookmarkStart w:id="61"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0">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1"/>
    <w:bookmarkStart w:id="63"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2">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3"/>
    <w:bookmarkStart w:id="65" w:name="ref-bamston_documentation_1997"/>
    <w:p>
      <w:pPr>
        <w:pStyle w:val="Bibliography"/>
      </w:pPr>
      <w:r>
        <w:t xml:space="preserve">Bamston, A.G., Chelliah, M. &amp; Goldenberg, S.B. (1997).</w:t>
      </w:r>
      <w:r>
        <w:t xml:space="preserve"> </w:t>
      </w:r>
      <w:hyperlink r:id="rId64">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5"/>
    <w:bookmarkStart w:id="67" w:name="ref-bennett_larger_2015"/>
    <w:p>
      <w:pPr>
        <w:pStyle w:val="Bibliography"/>
      </w:pPr>
      <w:r>
        <w:t xml:space="preserve">Bennett, A.C., McDowell, N.G., Allen, C.D. &amp; Anderson-Teixeira, K.J. (2015).</w:t>
      </w:r>
      <w:r>
        <w:t xml:space="preserve"> </w:t>
      </w:r>
      <w:hyperlink r:id="rId66">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7"/>
    <w:bookmarkStart w:id="69"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8">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9"/>
    <w:bookmarkStart w:id="71"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0">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1"/>
    <w:bookmarkStart w:id="72"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2"/>
    <w:bookmarkStart w:id="74" w:name="ref-bürkner_brms_2017"/>
    <w:p>
      <w:pPr>
        <w:pStyle w:val="Bibliography"/>
      </w:pPr>
      <w:r>
        <w:t xml:space="preserve">Bürkner, P.-C. (2017).</w:t>
      </w:r>
      <w:r>
        <w:t xml:space="preserve"> </w:t>
      </w:r>
      <w:hyperlink r:id="rId73">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4"/>
    <w:bookmarkStart w:id="75"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5"/>
    <w:bookmarkStart w:id="77"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7"/>
    <w:bookmarkStart w:id="79" w:name="ref-clark_annual_2021"/>
    <w:p>
      <w:pPr>
        <w:pStyle w:val="Bibliography"/>
      </w:pPr>
      <w:r>
        <w:t xml:space="preserve">Clark, D.A., Clark, D.B. &amp; Oberbauer, S.F. (2021).</w:t>
      </w:r>
      <w:r>
        <w:t xml:space="preserve"> </w:t>
      </w:r>
      <w:hyperlink r:id="rId78">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9"/>
    <w:bookmarkStart w:id="81" w:name="ref-clark_annual_2010"/>
    <w:p>
      <w:pPr>
        <w:pStyle w:val="Bibliography"/>
      </w:pPr>
      <w:r>
        <w:t xml:space="preserve">Clark, D.B., Clark, D.A. &amp; Oberbauer, S.F. (2010).</w:t>
      </w:r>
      <w:r>
        <w:t xml:space="preserve"> </w:t>
      </w:r>
      <w:hyperlink r:id="rId80">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1"/>
    <w:bookmarkStart w:id="82" w:name="ref-condit_dendrometer_"/>
    <w:p>
      <w:pPr>
        <w:pStyle w:val="Bibliography"/>
      </w:pPr>
      <w:r>
        <w:t xml:space="preserve">Condit, R. (n.d.). Dendrometer to</w:t>
      </w:r>
      <w:r>
        <w:t xml:space="preserve"> </w:t>
      </w:r>
      <w:r>
        <w:t xml:space="preserve">Diameter</w:t>
      </w:r>
      <w:r>
        <w:t xml:space="preserve">.</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fernández-de-uña_role_2023"/>
    <w:p>
      <w:pPr>
        <w:pStyle w:val="Bibliography"/>
      </w:pPr>
      <w:r>
        <w:t xml:space="preserve">Fernández-de-Uña, L., Martínez-Vilalta, J., Poyatos, R., Mencuccini, M. &amp; McDowell, N.G. (2023).</w:t>
      </w:r>
      <w:r>
        <w:t xml:space="preserve"> </w:t>
      </w:r>
      <w:hyperlink r:id="rId87">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8"/>
    <w:bookmarkStart w:id="90"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89">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90"/>
    <w:bookmarkStart w:id="92"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91">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5">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6"/>
    <w:bookmarkStart w:id="98"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7">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8"/>
    <w:bookmarkStart w:id="100" w:name="ref-hulshof_variation_2010"/>
    <w:p>
      <w:pPr>
        <w:pStyle w:val="Bibliography"/>
      </w:pPr>
      <w:r>
        <w:t xml:space="preserve">Hulshof, C.M. &amp; Swenson, N.G. (2010).</w:t>
      </w:r>
      <w:r>
        <w:t xml:space="preserve"> </w:t>
      </w:r>
      <w:hyperlink r:id="rId99">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100"/>
    <w:bookmarkStart w:id="102" w:name="ref-ipcc_climate_2023"/>
    <w:p>
      <w:pPr>
        <w:pStyle w:val="Bibliography"/>
      </w:pPr>
      <w:r>
        <w:t xml:space="preserve">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a_tree_2023"/>
    <w:p>
      <w:pPr>
        <w:pStyle w:val="Bibliography"/>
      </w:pPr>
      <w:r>
        <w:t xml:space="preserve">Ma, Q., Su, Y., Niu, C., Ma, Q., Hu, T., Luo, X.,</w:t>
      </w:r>
      <w:r>
        <w:t xml:space="preserve"> </w:t>
      </w:r>
      <w:r>
        <w:rPr>
          <w:iCs/>
          <w:i/>
        </w:rPr>
        <w:t xml:space="preserve">et al.</w:t>
      </w:r>
      <w:r>
        <w:t xml:space="preserve"> (2023).</w:t>
      </w:r>
      <w:r>
        <w:t xml:space="preserve"> </w:t>
      </w:r>
      <w:hyperlink r:id="rId11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11"/>
    <w:bookmarkStart w:id="113" w:name="ref-mcdowell_darcys_2015"/>
    <w:p>
      <w:pPr>
        <w:pStyle w:val="Bibliography"/>
      </w:pPr>
      <w:r>
        <w:t xml:space="preserve">McDowell, N.G. &amp; Allen, C.D. (2015).</w:t>
      </w:r>
      <w:r>
        <w:t xml:space="preserve"> </w:t>
      </w:r>
      <w:hyperlink r:id="rId112">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13"/>
    <w:bookmarkStart w:id="115"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4">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5"/>
    <w:bookmarkStart w:id="116" w:name="ref-muller-landau_metal_2008"/>
    <w:p>
      <w:pPr>
        <w:pStyle w:val="Bibliography"/>
      </w:pPr>
      <w:r>
        <w:t xml:space="preserve">Muller-Landau, H.C. (2008). Metal</w:t>
      </w:r>
      <w:r>
        <w:t xml:space="preserve"> </w:t>
      </w:r>
      <w:r>
        <w:t xml:space="preserve">Band Dendrometer Protocol</w:t>
      </w:r>
      <w:r>
        <w:t xml:space="preserve">.</w:t>
      </w:r>
    </w:p>
    <w:bookmarkEnd w:id="116"/>
    <w:bookmarkStart w:id="118"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17">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18"/>
    <w:bookmarkStart w:id="120"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9">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20"/>
    <w:bookmarkStart w:id="122" w:name="ref-oliveira_linking_2021"/>
    <w:p>
      <w:pPr>
        <w:pStyle w:val="Bibliography"/>
      </w:pPr>
      <w:r>
        <w:t xml:space="preserve">Oliveira, R.S., Eller, C.B., Barros, F. de V., Hirota, M., Brum, M. &amp; Bittencourt, P. (2021).</w:t>
      </w:r>
      <w:r>
        <w:t xml:space="preserve"> </w:t>
      </w:r>
      <w:hyperlink r:id="rId121">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22"/>
    <w:bookmarkStart w:id="123"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23"/>
    <w:bookmarkStart w:id="125" w:name="ref-raesch_pvldcurve_2020"/>
    <w:p>
      <w:pPr>
        <w:pStyle w:val="Bibliography"/>
      </w:pPr>
      <w:r>
        <w:t xml:space="preserve">Raesch, A. (2020).</w:t>
      </w:r>
      <w:r>
        <w:t xml:space="preserve"> </w:t>
      </w:r>
      <w:hyperlink r:id="rId124">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25"/>
    <w:bookmarkStart w:id="127" w:name="ref-räsänen_spatial_2016"/>
    <w:p>
      <w:pPr>
        <w:pStyle w:val="Bibliography"/>
      </w:pPr>
      <w:r>
        <w:t xml:space="preserve">Räsänen, T.A., Lindgren, V., Guillaume, J.H.A., Buckley, B.M. &amp; Kummu, M. (2016).</w:t>
      </w:r>
      <w:r>
        <w:t xml:space="preserve"> </w:t>
      </w:r>
      <w:hyperlink r:id="rId126">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7"/>
    <w:bookmarkStart w:id="129" w:name="ref-scharnweber_confessions_2019"/>
    <w:p>
      <w:pPr>
        <w:pStyle w:val="Bibliography"/>
      </w:pPr>
      <w:r>
        <w:t xml:space="preserve">Scharnweber, T., Heinze, L., Cruz-García, R., van der Maaten-Theunissen, M. &amp; Wilmking, M. (2019).</w:t>
      </w:r>
      <w:r>
        <w:t xml:space="preserve"> </w:t>
      </w:r>
      <w:hyperlink r:id="rId12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9"/>
    <w:bookmarkStart w:id="131"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30">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31"/>
    <w:bookmarkStart w:id="132"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32"/>
    <w:bookmarkStart w:id="134" w:name="ref-stahl_depth_2013"/>
    <w:p>
      <w:pPr>
        <w:pStyle w:val="Bibliography"/>
      </w:pPr>
      <w:r>
        <w:t xml:space="preserve">Stahl, C., Hérault, B., Rossi, V., Burban, B., Bréchet, C. &amp; Bonal, D. (2013).</w:t>
      </w:r>
      <w:r>
        <w:t xml:space="preserve"> </w:t>
      </w:r>
      <w:hyperlink r:id="rId133">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34"/>
    <w:bookmarkStart w:id="136" w:name="ref-trugman_why_2021"/>
    <w:p>
      <w:pPr>
        <w:pStyle w:val="Bibliography"/>
      </w:pPr>
      <w:r>
        <w:t xml:space="preserve">Trugman, A.T., Anderegg, L.D.L., Anderegg, W.R.L., Das, A.J. &amp; Stephenson, N.L. (2021).</w:t>
      </w:r>
      <w:r>
        <w:t xml:space="preserve"> </w:t>
      </w:r>
      <w:hyperlink r:id="rId135">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6"/>
    <w:bookmarkStart w:id="138" w:name="ref-vasey_intraspecific_2022"/>
    <w:p>
      <w:pPr>
        <w:pStyle w:val="Bibliography"/>
      </w:pPr>
      <w:r>
        <w:t xml:space="preserve">Vasey, G.L., Weisberg, P.J. &amp; Urza, A.K. (2022).</w:t>
      </w:r>
      <w:r>
        <w:t xml:space="preserve"> </w:t>
      </w:r>
      <w:hyperlink r:id="rId137">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8"/>
    <w:bookmarkStart w:id="139"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9"/>
    <w:bookmarkStart w:id="141" w:name="ref-vicente-serrano_multiscalar_2010"/>
    <w:p>
      <w:pPr>
        <w:pStyle w:val="Bibliography"/>
      </w:pPr>
      <w:r>
        <w:t xml:space="preserve">Vicente-Serrano, S.M., Beguería, S. &amp; López-Moreno, J.I. (2010).</w:t>
      </w:r>
      <w:r>
        <w:t xml:space="preserve"> </w:t>
      </w:r>
      <w:hyperlink r:id="rId140">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41"/>
    <w:bookmarkStart w:id="143" w:name="ref-vico_how_2017a"/>
    <w:p>
      <w:pPr>
        <w:pStyle w:val="Bibliography"/>
      </w:pPr>
      <w:r>
        <w:t xml:space="preserve">Vico, G., Dralle, D., Feng, X., Thompson, S. &amp; Manzoni, S. (2017).</w:t>
      </w:r>
      <w:r>
        <w:t xml:space="preserve"> </w:t>
      </w:r>
      <w:hyperlink r:id="rId142">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43"/>
    <w:bookmarkStart w:id="14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4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45"/>
    <w:bookmarkStart w:id="147" w:name="ref-vlam_temperature_2014"/>
    <w:p>
      <w:pPr>
        <w:pStyle w:val="Bibliography"/>
      </w:pPr>
      <w:r>
        <w:t xml:space="preserve">Vlam, M., Baker, P.J., Bunyavejchewin, S. &amp; Zuidema, P.A. (2014).</w:t>
      </w:r>
      <w:r>
        <w:t xml:space="preserve"> </w:t>
      </w:r>
      <w:hyperlink r:id="rId14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7"/>
    <w:bookmarkStart w:id="149" w:name="ref-williams_deciduousness_2008"/>
    <w:p>
      <w:pPr>
        <w:pStyle w:val="Bibliography"/>
      </w:pPr>
      <w:r>
        <w:t xml:space="preserve">Williams, L.J., Bunyavejchewin, S. &amp; Baker, P.J. (2008).</w:t>
      </w:r>
      <w:r>
        <w:t xml:space="preserve"> </w:t>
      </w:r>
      <w:hyperlink r:id="rId14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9"/>
    <w:bookmarkStart w:id="15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50"/>
    <w:bookmarkStart w:id="152"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51">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52"/>
    <w:bookmarkStart w:id="154" w:name="ref-zuleta_droughtinduced_2017"/>
    <w:p>
      <w:pPr>
        <w:pStyle w:val="Bibliography"/>
      </w:pPr>
      <w:r>
        <w:t xml:space="preserve">Zuleta, D., Duque, A., Cardenas, D., Muller-Landau, H.C. &amp; Davies, S.J. (2017).</w:t>
      </w:r>
      <w:r>
        <w:t xml:space="preserve"> </w:t>
      </w:r>
      <w:hyperlink r:id="rId153">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54"/>
    <w:bookmarkEnd w:id="155"/>
    <w:bookmarkEnd w:id="15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9" Target="https://doi.org/10.1002/2017GL076521" TargetMode="External" /><Relationship Type="http://schemas.openxmlformats.org/officeDocument/2006/relationships/hyperlink" Id="rId153" Target="https://doi.org/10.1002/ecy.1950" TargetMode="External" /><Relationship Type="http://schemas.openxmlformats.org/officeDocument/2006/relationships/hyperlink" Id="rId148" Target="https://doi.org/10.1007/s00442-007-0938-1" TargetMode="External" /><Relationship Type="http://schemas.openxmlformats.org/officeDocument/2006/relationships/hyperlink" Id="rId133" Target="https://doi.org/10.1007/s00442-013-2724-6" TargetMode="External" /><Relationship Type="http://schemas.openxmlformats.org/officeDocument/2006/relationships/hyperlink" Id="rId146"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28" Target="https://doi.org/10.1016/j.dendro.2019.04.001" TargetMode="External" /><Relationship Type="http://schemas.openxmlformats.org/officeDocument/2006/relationships/hyperlink" Id="rId135"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78" Target="https://doi.org/10.1029/2021JG006557" TargetMode="External" /><Relationship Type="http://schemas.openxmlformats.org/officeDocument/2006/relationships/hyperlink" Id="rId112" Target="https://doi.org/10.1038/nclimate2641" TargetMode="External" /><Relationship Type="http://schemas.openxmlformats.org/officeDocument/2006/relationships/hyperlink" Id="rId66"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110" Target="https://doi.org/10.1038/s41467-023-43083-8" TargetMode="External" /><Relationship Type="http://schemas.openxmlformats.org/officeDocument/2006/relationships/hyperlink" Id="rId68"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51"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89" Target="https://doi.org/10.1038/sdata.2015.66" TargetMode="External" /><Relationship Type="http://schemas.openxmlformats.org/officeDocument/2006/relationships/hyperlink" Id="rId64" Target="https://doi.org/10.1080/07055900.1997.9649597" TargetMode="External" /><Relationship Type="http://schemas.openxmlformats.org/officeDocument/2006/relationships/hyperlink" Id="rId142" Target="https://doi.org/10.1088/1748-9326/aa6f1b" TargetMode="External" /><Relationship Type="http://schemas.openxmlformats.org/officeDocument/2006/relationships/hyperlink" Id="rId83" Target="https://doi.org/10.1088/1748-9326/aa75d7" TargetMode="External" /><Relationship Type="http://schemas.openxmlformats.org/officeDocument/2006/relationships/hyperlink" Id="rId95" Target="https://doi.org/10.1111/ele.13659" TargetMode="External" /><Relationship Type="http://schemas.openxmlformats.org/officeDocument/2006/relationships/hyperlink" Id="rId60" Target="https://doi.org/10.1111/gcb.12712" TargetMode="External" /><Relationship Type="http://schemas.openxmlformats.org/officeDocument/2006/relationships/hyperlink" Id="rId91" Target="https://doi.org/10.1111/gcb.14367" TargetMode="External" /><Relationship Type="http://schemas.openxmlformats.org/officeDocument/2006/relationships/hyperlink" Id="rId130" Target="https://doi.org/10.1111/gcb.14747" TargetMode="External" /><Relationship Type="http://schemas.openxmlformats.org/officeDocument/2006/relationships/hyperlink" Id="rId58" Target="https://doi.org/10.1111/gcb.14759" TargetMode="External" /><Relationship Type="http://schemas.openxmlformats.org/officeDocument/2006/relationships/hyperlink" Id="rId62" Target="https://doi.org/10.1111/gcb.15934" TargetMode="External" /><Relationship Type="http://schemas.openxmlformats.org/officeDocument/2006/relationships/hyperlink" Id="rId97" Target="https://doi.org/10.1111/gcb.16082" TargetMode="External" /><Relationship Type="http://schemas.openxmlformats.org/officeDocument/2006/relationships/hyperlink" Id="rId99" Target="https://doi.org/10.1111/j.1365-2435.2009.01614.x" TargetMode="External" /><Relationship Type="http://schemas.openxmlformats.org/officeDocument/2006/relationships/hyperlink" Id="rId80" Target="https://doi.org/10.1111/j.1365-2486.2009.02004.x" TargetMode="External" /><Relationship Type="http://schemas.openxmlformats.org/officeDocument/2006/relationships/hyperlink" Id="rId137"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14"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21" Target="https://doi.org/10.1111/nph.17266" TargetMode="External" /><Relationship Type="http://schemas.openxmlformats.org/officeDocument/2006/relationships/hyperlink" Id="rId76" Target="https://doi.org/10.1111/nph.17464" TargetMode="External" /><Relationship Type="http://schemas.openxmlformats.org/officeDocument/2006/relationships/hyperlink" Id="rId144" Target="https://doi.org/10.1111/nph.18539" TargetMode="External" /><Relationship Type="http://schemas.openxmlformats.org/officeDocument/2006/relationships/hyperlink" Id="rId87" Target="https://doi.org/10.1111/nph.19130" TargetMode="External" /><Relationship Type="http://schemas.openxmlformats.org/officeDocument/2006/relationships/hyperlink" Id="rId70" Target="https://doi.org/10.1146/annurev-earth-082517-010235" TargetMode="External" /><Relationship Type="http://schemas.openxmlformats.org/officeDocument/2006/relationships/hyperlink" Id="rId140" Target="https://doi.org/10.1175/2009JCLI2909.1" TargetMode="External" /><Relationship Type="http://schemas.openxmlformats.org/officeDocument/2006/relationships/hyperlink" Id="rId73" Target="https://doi.org/10.18637/jss.v080.i01" TargetMode="External" /><Relationship Type="http://schemas.openxmlformats.org/officeDocument/2006/relationships/hyperlink" Id="rId124" Target="https://doi.org/10.32614/CRAN.package.pvldcurve" TargetMode="External" /><Relationship Type="http://schemas.openxmlformats.org/officeDocument/2006/relationships/hyperlink" Id="rId126" Target="https://doi.org/10.5194/cp-12-1889-2016" TargetMode="External" /><Relationship Type="http://schemas.openxmlformats.org/officeDocument/2006/relationships/hyperlink" Id="rId117" Target="https://doi.org/10.5194/essd-13-4349-202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2025-06-18T20:15:58Z</dcterms:created>
  <dcterms:modified xsi:type="dcterms:W3CDTF">2025-06-18T20:15:58Z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