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4999</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created and helped execute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biological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p>
      <w:pPr>
        <w:pStyle w:val="BodyText"/>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r>
        <w:t xml:space="preserve">As an alternate approach, we applied backdoor criteria to the causal model and tested the effects of DBH, CII and TWI separately.</w:t>
      </w:r>
      <w:r>
        <w:t xml:space="preserve"> </w:t>
      </w:r>
      <w:r>
        <w:t xml:space="preserve">Details and results are reported in the Supplementary Material.</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2" w:name="results"/>
    <w:p>
      <w:pPr>
        <w:pStyle w:val="Heading1"/>
      </w:pPr>
      <w:r>
        <w:t xml:space="preserve">Results</w:t>
      </w:r>
    </w:p>
    <w:bookmarkStart w:id="29" w:name="tree-growth-responses-to-drought"/>
    <w:p>
      <w:pPr>
        <w:pStyle w:val="Heading2"/>
      </w:pPr>
      <w:r>
        <w:t xml:space="preserve">Tree growth responses to drought</w:t>
      </w:r>
    </w:p>
    <w:p>
      <w:pPr>
        <w:pStyle w:val="FirstParagraph"/>
      </w:pPr>
      <w:r>
        <w:t xml:space="preserve">In summary, the three climatically distinct droughts can be characterised thus: 2010 was a moderate, dry-season drought, 2015 a severe wet-season drought and 2020, a moderate drought during the dry-to-wet transition (Table 1).</w:t>
      </w:r>
    </w:p>
    <w:p>
      <w:pPr>
        <w:pStyle w:val="BodyText"/>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Species median sensitivities and individual tree sensitivities to the three droughts were not correlated with each other, supporting prediction</w:t>
      </w:r>
      <w:r>
        <w:t xml:space="preserve"> </w:t>
      </w:r>
      <w:r>
        <w:rPr>
          <w:iCs/>
          <w:i/>
        </w:rPr>
        <w:t xml:space="preserve">i</w:t>
      </w:r>
      <w:r>
        <w:t xml:space="preserve"> </w:t>
      </w:r>
      <w:r>
        <w:t xml:space="preserve">(Fig S5, Fig S6).</w:t>
      </w:r>
      <w:r>
        <w:t xml:space="preserve"> </w:t>
      </w:r>
      <w:r>
        <w:t xml:space="preserve">Median annual increment across years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r>
        <w:t xml:space="preserve"> </w:t>
      </w:r>
      <w:r>
        <w:t xml:space="preserve">Species had more negative sensitivities to the 2015 drought than the 2010 or 2020 droughts, in alignment with median sensitivities across all trees</w:t>
      </w:r>
      <w:r>
        <w:t xml:space="preserve"> </w:t>
      </w:r>
      <w:r>
        <w:t xml:space="preserve">(Fig S5). Median species sensitivities to the 2010 and 2020 droughts were variable, but no species had higher median increments than a typical year in 2015.</w:t>
      </w:r>
      <w:r>
        <w:t xml:space="preserve"> </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w:t>
      </w:r>
      <w:r>
        <w:t xml:space="preserve"> </w:t>
      </w:r>
      <w:r>
        <w:t xml:space="preserve">(Fig 3a).</w:t>
      </w:r>
      <w:r>
        <w:t xml:space="preserve"> </w:t>
      </w:r>
      <w:r>
        <w:t xml:space="preserve">There was no difference in 2010 (r = -0.05, p = 0.8).</w:t>
      </w:r>
      <w:r>
        <w:t xml:space="preserve"> </w:t>
      </w:r>
      <w:r>
        <w:t xml:space="preserve">Models of all trees with Topographic Wetness Index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effects"/>
    <w:p>
      <w:pPr>
        <w:pStyle w:val="Heading2"/>
      </w:pPr>
      <w:r>
        <w:t xml:space="preserve">Microenvironment</w:t>
      </w:r>
      <w:r>
        <w:t xml:space="preserve"> </w:t>
      </w:r>
      <w:r>
        <w:t xml:space="preserve">effects</w:t>
      </w:r>
    </w:p>
    <w:p>
      <w:pPr>
        <w:pStyle w:val="FirstParagraph"/>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Illumination index (CII) was associated with greater growth declines in 2010.</w:t>
      </w:r>
      <w:r>
        <w:t xml:space="preserve"> </w:t>
      </w:r>
      <w:r>
        <w:t xml:space="preserve">In the same models described above, the simplex parameter for the ordered factor CII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CII on sensitivity decreased monotonically, with a decrease to negative sensitivities in category 4 and 5 in 2010, but all CII categories in 2015 and 2020 has similar predictions, showing that exposure was not associated with altered sensitivity (Fig 5b).</w:t>
      </w:r>
    </w:p>
    <w:p>
      <w:pPr>
        <w:pStyle w:val="BodyText"/>
      </w:pPr>
      <w:r>
        <w:t xml:space="preserve">Trees with larger DBH had higher CII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seasonal timing, magnitude and duration of meteorological anomalies, and severity as classified with SPEI (Table 1, Fig. 1).</w:t>
      </w:r>
      <w:r>
        <w:t xml:space="preserve"> </w:t>
      </w:r>
      <w:r>
        <w:t xml:space="preserve"> </w:t>
      </w:r>
      <w:r>
        <w:t xml:space="preserve"> </w:t>
      </w:r>
      <w:r>
        <w:t xml:space="preserve">However, our finding that a severe wet-season drought in 2015 had greater impact on woody growth than dry-season drought in 2010 and dry-to-wet-season drought in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This aligns closely with recent global analyses using tree ring chronologies showing hetereogeneous responses of tree functional types to drought types</w:t>
      </w:r>
      <w:r>
        <w:t xml:space="preserve"> </w:t>
      </w:r>
      <w:r>
        <w:t xml:space="preserve">(Zuidema</w:t>
      </w:r>
      <w:r>
        <w:t xml:space="preserve"> </w:t>
      </w:r>
      <w:r>
        <w:rPr>
          <w:iCs/>
          <w:i/>
        </w:rPr>
        <w:t xml:space="preserve">et al.</w:t>
      </w:r>
      <w:r>
        <w:t xml:space="preserve"> </w:t>
      </w:r>
      <w:r>
        <w:t xml:space="preserve">2025)</w:t>
      </w:r>
      <w:r>
        <w:t xml:space="preserve">.</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 Table S1).</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biological insurance effects among tropical tree responses, in alignment with recent global analyses</w:t>
      </w:r>
      <w:r>
        <w:t xml:space="preserve"> </w:t>
      </w:r>
      <w:r>
        <w:t xml:space="preserve">(Liu</w:t>
      </w:r>
      <w:r>
        <w:t xml:space="preserve"> </w:t>
      </w:r>
      <w:r>
        <w:rPr>
          <w:iCs/>
          <w:i/>
        </w:rPr>
        <w:t xml:space="preserve">et al.</w:t>
      </w:r>
      <w:r>
        <w:t xml:space="preserve"> </w:t>
      </w:r>
      <w:r>
        <w:t xml:space="preserve">2022; Zuidema</w:t>
      </w:r>
      <w:r>
        <w:t xml:space="preserve"> </w:t>
      </w:r>
      <w:r>
        <w:rPr>
          <w:iCs/>
          <w:i/>
        </w:rPr>
        <w:t xml:space="preserve">et al.</w:t>
      </w:r>
      <w:r>
        <w:t xml:space="preserve"> </w:t>
      </w:r>
      <w:r>
        <w:t xml:space="preserve">2025)</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8" w:name="references"/>
    <w:p>
      <w:pPr>
        <w:pStyle w:val="Heading1"/>
      </w:pPr>
      <w:r>
        <w:t xml:space="preserve">References</w:t>
      </w:r>
    </w:p>
    <w:bookmarkStart w:id="137"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evans_scaling_2025"/>
    <w:p>
      <w:pPr>
        <w:pStyle w:val="Bibliography"/>
      </w:pPr>
      <w:r>
        <w:t xml:space="preserve">Evans, M.E.K., Hu, J. &amp; Michaletz, S.T. (2025).</w:t>
      </w:r>
      <w:r>
        <w:t xml:space="preserve"> </w:t>
      </w:r>
      <w:hyperlink r:id="rId66">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7"/>
    <w:bookmarkStart w:id="69" w:name="ref-fernández-de-uña_role_2023"/>
    <w:p>
      <w:pPr>
        <w:pStyle w:val="Bibliography"/>
      </w:pPr>
      <w:r>
        <w:t xml:space="preserve">Fernández-de-Uña, L., Martínez-Vilalta, J., Poyatos, R., Mencuccini, M. &amp; McDowell, N.G. (2023).</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9"/>
    <w:bookmarkStart w:id="7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1"/>
    <w:bookmarkStart w:id="7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3"/>
    <w:bookmarkStart w:id="75" w:name="ref-garcía-cervigón_climate_2020"/>
    <w:p>
      <w:pPr>
        <w:pStyle w:val="Bibliography"/>
      </w:pPr>
      <w:r>
        <w:t xml:space="preserve">García-Cervigón, A.I., Camarero, J.J., Cueva, E., Espinosa, C.I. &amp; Escudero, A. (2020).</w:t>
      </w:r>
      <w:r>
        <w:t xml:space="preserve"> </w:t>
      </w:r>
      <w:hyperlink r:id="rId7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5"/>
    <w:bookmarkStart w:id="7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6"/>
    <w:bookmarkStart w:id="88" w:name="ref-liu_drought_2022"/>
    <w:p>
      <w:pPr>
        <w:pStyle w:val="Bibliography"/>
      </w:pPr>
      <w:r>
        <w:t xml:space="preserve">Liu, D., Wang, T., Peñuelas, J. &amp; Piao, S. (2022).</w:t>
      </w:r>
      <w:r>
        <w:t xml:space="preserve"> </w:t>
      </w:r>
      <w:hyperlink r:id="rId8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8"/>
    <w:bookmarkStart w:id="90" w:name="ref-luo_tropical_2022"/>
    <w:p>
      <w:pPr>
        <w:pStyle w:val="Bibliography"/>
      </w:pPr>
      <w:r>
        <w:t xml:space="preserve">Luo, X. &amp; Keenan, T.F. (2022).</w:t>
      </w:r>
      <w:r>
        <w:t xml:space="preserve"> </w:t>
      </w:r>
      <w:hyperlink r:id="rId8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0"/>
    <w:bookmarkStart w:id="92" w:name="ref-ma_tree_2023"/>
    <w:p>
      <w:pPr>
        <w:pStyle w:val="Bibliography"/>
      </w:pPr>
      <w:r>
        <w:t xml:space="preserve">Ma, Q., Su, Y., Niu, C., Ma, Q., Hu, T., Luo, X.,</w:t>
      </w:r>
      <w:r>
        <w:t xml:space="preserve"> </w:t>
      </w:r>
      <w:r>
        <w:rPr>
          <w:iCs/>
          <w:i/>
        </w:rPr>
        <w:t xml:space="preserve">et al.</w:t>
      </w:r>
      <w:r>
        <w:t xml:space="preserve"> (2023).</w:t>
      </w:r>
      <w:r>
        <w:t xml:space="preserve"> </w:t>
      </w:r>
      <w:hyperlink r:id="rId9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2"/>
    <w:bookmarkStart w:id="94" w:name="ref-mcdowell_darcys_2015"/>
    <w:p>
      <w:pPr>
        <w:pStyle w:val="Bibliography"/>
      </w:pPr>
      <w:r>
        <w:t xml:space="preserve">McDowell, N.G. &amp; Allen, C.D. (2015).</w:t>
      </w:r>
      <w:r>
        <w:t xml:space="preserve"> </w:t>
      </w:r>
      <w:hyperlink r:id="rId9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4"/>
    <w:bookmarkStart w:id="9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6"/>
    <w:bookmarkStart w:id="97" w:name="ref-muller-landau_metal_2008"/>
    <w:p>
      <w:pPr>
        <w:pStyle w:val="Bibliography"/>
      </w:pPr>
      <w:r>
        <w:t xml:space="preserve">Muller-Landau, H.C. (2008). Metal</w:t>
      </w:r>
      <w:r>
        <w:t xml:space="preserve"> </w:t>
      </w:r>
      <w:r>
        <w:t xml:space="preserve">Band Dendrometer Protocol</w:t>
      </w:r>
      <w:r>
        <w:t xml:space="preserve">.</w:t>
      </w:r>
    </w:p>
    <w:bookmarkEnd w:id="97"/>
    <w:bookmarkStart w:id="9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9"/>
    <w:bookmarkStart w:id="10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1"/>
    <w:bookmarkStart w:id="103" w:name="ref-oliveira_linking_2021"/>
    <w:p>
      <w:pPr>
        <w:pStyle w:val="Bibliography"/>
      </w:pPr>
      <w:r>
        <w:t xml:space="preserve">Oliveira, R.S., Eller, C.B., Barros, F. de V., Hirota, M., Brum, M. &amp; Bittencourt, P. (2021).</w:t>
      </w:r>
      <w:r>
        <w:t xml:space="preserve"> </w:t>
      </w:r>
      <w:hyperlink r:id="rId10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3"/>
    <w:bookmarkStart w:id="10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4"/>
    <w:bookmarkStart w:id="106" w:name="ref-raesch_pvldcurve_2020"/>
    <w:p>
      <w:pPr>
        <w:pStyle w:val="Bibliography"/>
      </w:pPr>
      <w:r>
        <w:t xml:space="preserve">Raesch, A. (2020).</w:t>
      </w:r>
      <w:r>
        <w:t xml:space="preserve"> </w:t>
      </w:r>
      <w:hyperlink r:id="rId10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6"/>
    <w:bookmarkStart w:id="108" w:name="ref-räsänen_spatial_2016"/>
    <w:p>
      <w:pPr>
        <w:pStyle w:val="Bibliography"/>
      </w:pPr>
      <w:r>
        <w:t xml:space="preserve">Räsänen, T.A., Lindgren, V., Guillaume, J.H.A., Buckley, B.M. &amp; Kummu, M. (2016).</w:t>
      </w:r>
      <w:r>
        <w:t xml:space="preserve"> </w:t>
      </w:r>
      <w:hyperlink r:id="rId10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8"/>
    <w:bookmarkStart w:id="110" w:name="ref-scharnweber_confessions_2019"/>
    <w:p>
      <w:pPr>
        <w:pStyle w:val="Bibliography"/>
      </w:pPr>
      <w:r>
        <w:t xml:space="preserve">Scharnweber, T., Heinze, L., Cruz-García, R., van der Maaten-Theunissen, M. &amp; Wilmking, M. (2019).</w:t>
      </w:r>
      <w:r>
        <w:t xml:space="preserve"> </w:t>
      </w:r>
      <w:hyperlink r:id="rId10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0"/>
    <w:bookmarkStart w:id="11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2"/>
    <w:bookmarkStart w:id="11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3"/>
    <w:bookmarkStart w:id="115" w:name="ref-stahl_depth_2013"/>
    <w:p>
      <w:pPr>
        <w:pStyle w:val="Bibliography"/>
      </w:pPr>
      <w:r>
        <w:t xml:space="preserve">Stahl, C., Hérault, B., Rossi, V., Burban, B., Bréchet, C. &amp; Bonal, D. (2013).</w:t>
      </w:r>
      <w:r>
        <w:t xml:space="preserve"> </w:t>
      </w:r>
      <w:hyperlink r:id="rId11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4" w:name="ref-zuidema_pantropical_2025"/>
    <w:p>
      <w:pPr>
        <w:pStyle w:val="Bibliography"/>
      </w:pPr>
      <w:r>
        <w:t xml:space="preserve">Zuidema, P.A., Groenendijk, P., Rahman, M., Trouet, V., Abiyu, A., Acuña-Soto, R.,</w:t>
      </w:r>
      <w:r>
        <w:t xml:space="preserve"> </w:t>
      </w:r>
      <w:r>
        <w:rPr>
          <w:iCs/>
          <w:i/>
        </w:rPr>
        <w:t xml:space="preserve">et al.</w:t>
      </w:r>
      <w:r>
        <w:t xml:space="preserve"> (2025). Pantropical tree rings show small effects of drought on stem growth.</w:t>
      </w:r>
    </w:p>
    <w:bookmarkEnd w:id="134"/>
    <w:bookmarkStart w:id="136" w:name="ref-zuleta_droughtinduced_2017"/>
    <w:p>
      <w:pPr>
        <w:pStyle w:val="Bibliography"/>
      </w:pPr>
      <w:r>
        <w:t xml:space="preserve">Zuleta, D., Duque, A., Cardenas, D., Muller-Landau, H.C. &amp; Davies, S.J. (2017).</w:t>
      </w:r>
      <w:r>
        <w:t xml:space="preserve"> </w:t>
      </w:r>
      <w:hyperlink r:id="rId135">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6"/>
    <w:bookmarkEnd w:id="137"/>
    <w:p>
      <w:r>
        <w:br w:type="page"/>
      </w:r>
    </w:p>
    <w:bookmarkEnd w:id="138"/>
    <w:bookmarkStart w:id="140" w:name="tables"/>
    <w:p>
      <w:pPr>
        <w:pStyle w:val="Heading1"/>
      </w:pPr>
      <w:r>
        <w:t xml:space="preserve">Tables</w:t>
      </w:r>
    </w:p>
    <w:p>
      <w:pPr>
        <w:pStyle w:val="TableCaption"/>
      </w:pPr>
      <w:bookmarkStart w:id="139" w:name="tab:table"/>
      <w:bookmarkEnd w:id="139"/>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0"/>
    <w:bookmarkStart w:id="141"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p>
    <w:bookmarkEnd w:id="141"/>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0"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0"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2025-09-15T18:14:41Z</dcterms:created>
  <dcterms:modified xsi:type="dcterms:W3CDTF">2025-09-15T18:14:41Z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