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39.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National Park, Wildlife and Plant Conservation Department, Bangkok, Thailand</w:t>
      </w:r>
      <w:r>
        <w:br/>
      </w:r>
      <w:r>
        <w:rPr>
          <w:vertAlign w:val="superscript"/>
        </w:rPr>
        <w:t xml:space="preserve">5</w:t>
      </w:r>
      <w:r>
        <w:t xml:space="preserve">Kasetsart University, Chatuchak, Bangkok,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150</w:t>
      </w:r>
      <w:r>
        <w:br/>
      </w:r>
      <w:r>
        <w:rPr>
          <w:bCs/>
          <w:b/>
        </w:rPr>
        <w:t xml:space="preserve">Number of Words in Main Text:</w:t>
      </w:r>
      <w:r>
        <w:t xml:space="preserve"> </w:t>
      </w:r>
      <w:r>
        <w:t xml:space="preserve">5200</w:t>
      </w:r>
      <w:r>
        <w:br/>
      </w:r>
      <w:r>
        <w:rPr>
          <w:bCs/>
          <w:b/>
        </w:rPr>
        <w:t xml:space="preserve">Number of References:</w:t>
      </w:r>
      <w:r>
        <w:t xml:space="preserve"> </w:t>
      </w:r>
      <w:r>
        <w:t xml:space="preserve">46</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bookmarkEnd w:id="23"/>
    <w:bookmarkStart w:id="24" w:name="conflict-of-interest"/>
    <w:p>
      <w:pPr>
        <w:pStyle w:val="Heading1"/>
      </w:pPr>
      <w:r>
        <w:t xml:space="preserve">Conflict of Interest</w:t>
      </w:r>
    </w:p>
    <w:p>
      <w:r>
        <w:br w:type="page"/>
      </w:r>
    </w:p>
    <w:bookmarkEnd w:id="24"/>
    <w:bookmarkStart w:id="25" w:name="abstract-150-words"/>
    <w:p>
      <w:pPr>
        <w:pStyle w:val="Heading1"/>
      </w:pPr>
      <w:r>
        <w:t xml:space="preserve">Abstract (150 words)</w:t>
      </w:r>
    </w:p>
    <w:p>
      <w:pPr>
        <w:pStyle w:val="FirstParagraph"/>
      </w:pPr>
      <w:r>
        <w:t xml:space="preserve">An observed increase in the frequency and severity of droughts threatens forest health worldwide, with important implications for this critical carbon sink.</w:t>
      </w:r>
      <w:r>
        <w:t xml:space="preserve"> </w:t>
      </w:r>
      <w:r>
        <w:t xml:space="preserve">Tree species adaptations to hot and dry conditions–for example, dry season deciduousness in tropical seasonal forests–might confer drought resistance, but such resistance may be variable across species, microenvironments, and drought events.</w:t>
      </w:r>
      <w:r>
        <w:t xml:space="preserve"> </w:t>
      </w:r>
      <w:r>
        <w:t xml:space="preserve">We analysed dendrometer band measurements on 1820 trees across 30 species in a seasonally dry forest in Northern</w:t>
      </w:r>
      <w:r>
        <w:t xml:space="preserve"> </w:t>
      </w:r>
      <w:r>
        <w:t xml:space="preserve">Thailand</w:t>
      </w:r>
      <w:r>
        <w:t xml:space="preserve"> </w:t>
      </w:r>
      <w:r>
        <w:t xml:space="preserve"> </w:t>
      </w:r>
      <w:r>
        <w:t xml:space="preserve">to assess tree growth responses to two climatically distinct droughts.</w:t>
      </w:r>
      <w:r>
        <w:t xml:space="preserve"> </w:t>
      </w:r>
      <w:r>
        <w:t xml:space="preserve">Species and individuals exhibited a wide range of growth responses within each drought, but these responses differed in intensity and affect across droughts.</w:t>
      </w:r>
      <w:r>
        <w:t xml:space="preserve"> </w:t>
      </w:r>
      <w:r>
        <w:t xml:space="preserve">Deciduous species were more sensitive to wet-season drought than evergreen species, and wetter microclimates amplified this difference.</w:t>
      </w:r>
      <w:r>
        <w:t xml:space="preserve"> </w:t>
      </w:r>
      <w:r>
        <w:t xml:space="preserve">Exposed trees showed more sensitivity to drought, but larger sized trees or trees in wetter topographic positions seemed to buffer growth declines.</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7" w:name="introduction"/>
    <w:p>
      <w:pPr>
        <w:pStyle w:val="Heading1"/>
      </w:pPr>
      <w:r>
        <w:t xml:space="preserve">Introduction</w:t>
      </w:r>
    </w:p>
    <w:p>
      <w:pPr>
        <w:pStyle w:val="FirstParagraph"/>
      </w:pPr>
      <w:r>
        <w:t xml:space="preserve">Globally, intense drought is becoming more frequent, affecting forest demography, diversity, and carbon (C) cycling</w:t>
      </w:r>
      <w:r>
        <w:t xml:space="preserve"> </w:t>
      </w:r>
      <w:r>
        <w:t xml:space="preserve">(IPCC 2023)</w:t>
      </w:r>
      <w:r>
        <w:t xml:space="preserve">.</w:t>
      </w:r>
      <w:r>
        <w:t xml:space="preserve"> </w:t>
      </w:r>
      <w:r>
        <w:t xml:space="preserve">However, our ability to predict drought impacts on tree woody growth and the resultant ecosystem C sequestration remains limited,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separate studies have shown that drought characteristics, species traits, and microenvironment all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resultant amplification of 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or hot/dry conditions anomalously departing from climatic means during any time of year, is notoriously hard to define and encompasses a variety of types based on the meteorological variables affected and the severity and duration of the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Although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droughts with different timing, duration, or intensity may in fact have very different effects on tree growth, especially in seasonal forests that have evolved phenological strategies to handle regular periods of climatic stress</w:t>
      </w:r>
      <w:r>
        <w:t xml:space="preserve"> </w:t>
      </w:r>
      <w:r>
        <w:t xml:space="preserve">(</w:t>
      </w:r>
      <w:r>
        <w:rPr>
          <w:bCs/>
          <w:b/>
        </w:rPr>
        <w:t xml:space="preserve">albert_ecology_letters_cryptic_phenology?</w:t>
      </w:r>
      <w:r>
        <w:t xml:space="preserve">)</w:t>
      </w:r>
      <w:r>
        <w:t xml:space="preserve"> </w:t>
      </w:r>
      <w:r>
        <w:t xml:space="preserve">(Gao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Analyses to date have found that tropical tree growth</w:t>
      </w:r>
      <w:r>
        <w:t xml:space="preserve"> </w:t>
      </w:r>
      <w:r>
        <w:t xml:space="preserve">is particularly sensitive to dry 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occurring at different times relative to regular seasonal cycles</w:t>
      </w:r>
      <w:r>
        <w:t xml:space="preserve">.</w:t>
      </w:r>
      <w:r>
        <w:t xml:space="preserve"> </w:t>
      </w:r>
    </w:p>
    <w:p>
      <w:pPr>
        <w:pStyle w:val="BodyText"/>
      </w:pPr>
      <w:r>
        <w:t xml:space="preserve">Tree species adaptations to cope with drought vary widely in type and strength,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maximise growth, reproduction, and survival under periodic hot/dry conditions,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 and have acquisitive strategies during leaf-on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w:t>
      </w:r>
      <w:r>
        <w:t xml:space="preserve"> </w:t>
      </w:r>
      <w:r>
        <w:rPr>
          <w:iCs/>
          <w:i/>
        </w:rPr>
        <w:t xml:space="preserve">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Finally, the microenvironments that individual trees experience influence growth responses to drought.</w:t>
      </w:r>
      <w:r>
        <w:t xml:space="preserve"> </w:t>
      </w:r>
      <w:r>
        <w:t xml:space="preserve"> </w:t>
      </w:r>
      <w:r>
        <w:t xml:space="preserve">Across horizontal axes, microenvironments defined by topographic and edaphic variation shape tree drought responses.</w:t>
      </w:r>
      <w:r>
        <w:t xml:space="preserve"> </w:t>
      </w:r>
      <w:r>
        <w:t xml:space="preserve">While habitats with relatively moist soils (e.g., low-lying topographic positions) are clearly more hospitable during drought, trees in these microenvironments may be more vulnerable if less drought-adapted (e.g., less negative</w:t>
      </w:r>
      <w:r>
        <w:t xml:space="preserve"> </w:t>
      </w:r>
      <m:oMath>
        <m:sSub>
          <m:e>
            <m:r>
              <m:t>π</m:t>
            </m:r>
          </m:e>
          <m:sub>
            <m:r>
              <m:t>t</m:t>
            </m:r>
            <m:r>
              <m:t>l</m:t>
            </m:r>
            <m:r>
              <m:t>p</m:t>
            </m:r>
          </m:sub>
        </m:sSub>
      </m:oMath>
      <w:r>
        <w:t xml:space="preserve">,</w:t>
      </w:r>
      <w:r>
        <w:t xml:space="preserve"> </w:t>
      </w:r>
      <w:r>
        <w:t xml:space="preserve">Kunert</w:t>
      </w:r>
      <w:r>
        <w:t xml:space="preserve"> </w:t>
      </w:r>
      <w:r>
        <w:rPr>
          <w:iCs/>
          <w:i/>
        </w:rPr>
        <w:t xml:space="preserve">et al.</w:t>
      </w:r>
      <w:r>
        <w:t xml:space="preserve"> </w:t>
      </w:r>
      <w:r>
        <w:t xml:space="preserve">(2021)</w:t>
      </w:r>
      <w:r>
        <w:t xml:space="preserve">) or acclimatized</w:t>
      </w:r>
      <w:r>
        <w:t xml:space="preserve"> </w:t>
      </w:r>
      <w:r>
        <w:t xml:space="preserve">(</w:t>
      </w:r>
      <w:r>
        <w:rPr>
          <w:bCs/>
          <w:b/>
        </w:rPr>
        <w:t xml:space="preserve">refs?</w:t>
      </w:r>
      <w:r>
        <w:t xml:space="preserve">)</w:t>
      </w:r>
      <w:r>
        <w:t xml:space="preserve">.</w:t>
      </w:r>
      <w:r>
        <w:t xml:space="preserve"> </w:t>
      </w:r>
      <w:r>
        <w:t xml:space="preserve">Indeed, there are observations of trees near streams undergoing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(Zuleta</w:t>
      </w:r>
      <w:r>
        <w:t xml:space="preserve"> </w:t>
      </w:r>
      <w:r>
        <w:rPr>
          <w:iCs/>
          <w:i/>
        </w:rPr>
        <w:t xml:space="preserve">et al.</w:t>
      </w:r>
      <w:r>
        <w:t xml:space="preserve"> </w:t>
      </w:r>
      <w:r>
        <w:t xml:space="preserve">2017)</w:t>
      </w:r>
      <w:r>
        <w:t xml:space="preserve"> </w:t>
      </w:r>
      <w:r>
        <w:t xml:space="preserve">during drought.</w:t>
      </w:r>
      <w:r>
        <w:t xml:space="preserve"> </w:t>
      </w:r>
      <w:r>
        <w:t xml:space="preserve">Across vertical axes, trees of different sizes have their crowns and root systems in sometimes dramatically divergent microenvironments.</w:t>
      </w:r>
      <w:r>
        <w:t xml:space="preserve"> </w:t>
      </w:r>
      <w:r>
        <w:t xml:space="preserve">Aboveground, 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are at least partially offset by the tendency for large trees to have larger and often 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p>
    <w:p>
      <w:pPr>
        <w:pStyle w:val="BodyText"/>
      </w:pP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it remains unclear whether this is driven primarily by crown exposure, by greater height itself makes trees more vulnerable to drought based on the physics of hydraulic flow through a porous medium</w:t>
      </w:r>
      <w:r>
        <w:t xml:space="preserve"> </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 and,</w:t>
      </w:r>
      <w:r>
        <w:t xml:space="preserve"> </w:t>
      </w:r>
      <w:r>
        <w:t xml:space="preserve">iii) exposed trees are more sensitive to drought, but water availability, either through larger topographic location or tree size (and corresponding rooting volume), can buffer growth declines.</w:t>
      </w:r>
      <w:r>
        <w:t xml:space="preserve"> </w:t>
      </w:r>
      <w:r>
        <w:t xml:space="preserve">We tested these hypothses using a 14-year record of dendrometer band measurements in a seasonally dry forest in Thailand. With data on 1820 trees across 30 species we built Bayesian regression models in a causal modelling framework to account for potential confounding relationships among the variables. This analysis adds important insight into the complexity of seasonal dry forest response to drought in species-rich tropical forests.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32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6-mo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extreme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6"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For analysis, we focussed on 30 of the most abundant species in the plot.</w:t>
      </w:r>
      <w:r>
        <w:br/>
      </w:r>
      <w:r>
        <w:t xml:space="preserve">Long-term analysis of tree-ring data shows that tree growth at HKK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5943600"/>
            <wp:effectExtent b="0" l="0" r="0" t="0"/>
            <wp:docPr descr="Figure 1. Climatic characteristics of the focal drought years (red in 2010, brown in 2015) compared with the average across years 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in 2010 and 2015. A k-month SPEI integrates over k months ending in the month current month.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_new.png" id="3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1. Climatic characteristics of the focal drought years (red in 2010, brown in 2015) compared with the average across years</w:t>
      </w:r>
      <w:r>
        <w:t xml:space="preserve"> </w:t>
      </w:r>
      <w:r>
        <w:t xml:space="preserve">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in 2010 and 2015. A k-month SPEI integrates over k months ending in the month current month.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HKK,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sSub>
              <m:e>
                <m:r>
                  <m:t>d</m:t>
                </m:r>
              </m:e>
              <m:sub>
                <m:r>
                  <m:t>1</m:t>
                </m:r>
              </m:sub>
            </m:sSub>
          </m:e>
        </m:d>
      </m:oMath>
      <w:r>
        <w:t xml:space="preserve"> </w:t>
      </w:r>
      <w:r>
        <w:t xml:space="preserve">to calculate diameter at each dendroband census using standard equations that uses the chord across the measurement window to estimate the arc, assuming a circular cross section</w:t>
      </w:r>
      <w:r>
        <w:t xml:space="preserve">(Condit n.d.)</w:t>
      </w:r>
      <w:r>
        <w:t xml:space="preserve">.</w:t>
      </w:r>
      <w:r>
        <w:t xml:space="preserve"> </w:t>
      </w:r>
      <w:r>
        <w:t xml:space="preserve">We used a direct measurement of</w:t>
      </w:r>
      <w:r>
        <w:t xml:space="preserve"> </w:t>
      </w:r>
      <m:oMath>
        <m:sSub>
          <m:e>
            <m:r>
              <m:t>d</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t</m:t>
        </m:r>
        <m:r>
          <m:t>d</m:t>
        </m:r>
        <m:r>
          <m:t>i</m:t>
        </m:r>
        <m:r>
          <m:t>f</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with missing values for</w:t>
      </w:r>
      <w:r>
        <w:t xml:space="preserve"> </w:t>
      </w:r>
      <m:oMath>
        <m:sSub>
          <m:e>
            <m:r>
              <m:t>d</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Tape measurements themselves are not precise enough for calculating drought sensitivity; error for each tape measure is 1 mm, error for growth is at least 2 mm.</w:t>
      </w:r>
      <w:r>
        <w:t xml:space="preserve"> </w:t>
      </w:r>
      <w:r>
        <w:t xml:space="preserve">In comparison, median annual growth across trees in HKK is ~1.4 mm and calculating deviation from annual growth needs sub-mm precision.</w:t>
      </w:r>
      <w:r>
        <w:t xml:space="preserve"> </w:t>
      </w:r>
      <w:r>
        <w:t xml:space="preserve">However, tape measurements can be used to check for consistency in trends or identify outliers.</w:t>
      </w:r>
      <w:r>
        <w:t xml:space="preserve"> </w:t>
      </w:r>
      <w:r>
        <w:t xml:space="preserve">We calculated increments from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responses across trees and species in the Huai Kha Khaeng ForestGEO plot. a) Median of annualised growth increments across ten dominant species (colours) and all trees (black) from 2009 - 2022. b) Distribution of drought sensitivity of tree growth across all individuals in the two drought years.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2009 - 2022. b) Distribution of drought sensitivity of tree growth across all individuals in the two drought years.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drought years of interest in the dendroband timeseries - 2010 and 2015 - based on two drought indices and corroborated by meteorological data, local expertise, and plot-level growth responses.</w:t>
      </w:r>
      <w:r>
        <w:t xml:space="preserve"> </w:t>
      </w:r>
      <w:r>
        <w:t xml:space="preserve">Within the dendroband timeseries, two ENSO events had occurred; 2010 was a moderate ENSO event while 2015 was a very strong ENSO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We also calculate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two or more consecutive months with SPEI &lt; -1 also resulted in identification of 2010 and 2015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 </w:t>
      </w:r>
      <w:r>
        <w:t xml:space="preserve"> </w:t>
      </w:r>
      <w:r>
        <w:t xml:space="preserve">We note that although tree growth was unusally low in 2020, this year did not emerge as a drought year either in the examination of drought indicators or from expert knowledge.</w:t>
      </w:r>
    </w:p>
    <w:p>
      <w:pPr>
        <w:pStyle w:val="BodyText"/>
      </w:pPr>
      <w:r>
        <w:t xml:space="preserve">To characterise the two focal droughts, we used data from a weather station near the plot and publicly available climate data for the region.</w:t>
      </w:r>
      <w:r>
        <w:t xml:space="preserve"> </w:t>
      </w:r>
      <w:r>
        <w:t xml:space="preserve">We used daily weather data on maximum temperate, relative humidity and total precipitation collected from 2001 to 2019 at the Forest Fire Research Station</w:t>
      </w:r>
      <w:r>
        <w:t xml:space="preserve"> </w:t>
      </w:r>
      <w:r>
        <w:t xml:space="preserve">, located ~20 km from HKK, and calculated an additional variables vapour pressure deficit (VPD,</w:t>
      </w:r>
      <w:r>
        <w:t xml:space="preserve"> </w:t>
      </w:r>
      <w:r>
        <w:t xml:space="preserve">Raesch (2020)</w:t>
      </w:r>
      <w:r>
        <w:t xml:space="preserve">).</w:t>
      </w:r>
      <w:r>
        <w:t xml:space="preserve"> </w:t>
      </w:r>
      <w:r>
        <w:t xml:space="preserve"> </w:t>
      </w:r>
      <w:r>
        <w:t xml:space="preserve"> </w:t>
      </w:r>
      <w:r>
        <w:t xml:space="preserve"> </w:t>
      </w:r>
      <w:r>
        <w:t xml:space="preserve"> </w:t>
      </w:r>
      <w:r>
        <w:t xml:space="preserve">We then calculated rolling means of precipitation, number of dry days (precipitation = 0), VPD and maximum temperature over 30 day periods across the whole timeseries.</w:t>
      </w:r>
      <w:r>
        <w:t xml:space="preserve"> </w:t>
      </w:r>
      <w:r>
        <w:t xml:space="preserve">Finally, we calculated daily rolling anomalies for each variable for 2010 and 2015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 from calculated from dendrometer band window size.</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Across all individuals in the plot, we calculated Topographic Wetness Index (TWI)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(CII), an ordinal categorical variable from 1 to 5 (least to most exposed) measured at each dendroband census.</w:t>
      </w:r>
    </w:p>
    <w:p>
      <w:pPr>
        <w:pStyle w:val="BodyText"/>
      </w:pPr>
      <w:r>
        <w:t xml:space="preserve">We calculated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deciduousness as the mean proportion of crown leaf loss at maximum loss across individuals in the species, with a score ranging from 1 to 4 where 1 is most evergreen and 4 is most deciduous.</w:t>
      </w:r>
      <w:r>
        <w:t xml:space="preserve"> </w:t>
      </w:r>
      <w:r>
        <w:t xml:space="preserve">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was strongly correlated with the proportion of crown loss; we chose to use the proportion of crown loss because it was available for a larger list of species.</w:t>
      </w:r>
      <w:r>
        <w:br/>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6"/>
    <w:bookmarkStart w:id="53" w:name="results"/>
    <w:p>
      <w:pPr>
        <w:pStyle w:val="Heading1"/>
      </w:pPr>
      <w:r>
        <w:t xml:space="preserve">Results</w:t>
      </w:r>
    </w:p>
    <w:bookmarkStart w:id="37"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(Table 1, Fig 1).</w:t>
      </w:r>
      <w:r>
        <w:t xml:space="preserve"> </w:t>
      </w:r>
      <w:r>
        <w:t xml:space="preserve">The 2010 drought peaked between February and May (dry season and beginning of wet season), with 1-month SPEI values below -1 and meteorological anomalies on the 30-day scale including lower precipitation (min anomaly</w:t>
      </w:r>
      <w:r>
        <w:t xml:space="preserve"> </w:t>
      </w:r>
      <w:r>
        <w:rPr>
          <w:bCs/>
          <w:b/>
        </w:rPr>
        <w:t xml:space="preserve">&lt;-1.5</w:t>
      </w:r>
      <w:r>
        <w:t xml:space="preserve"> </w:t>
      </w:r>
      <w:r>
        <w:t xml:space="preserve">SD), higher number of dry days (max anomaly</w:t>
      </w:r>
      <w:r>
        <w:t xml:space="preserve"> </w:t>
      </w:r>
      <w:r>
        <w:rPr>
          <w:bCs/>
          <w:b/>
        </w:rPr>
        <w:t xml:space="preserve">&gt;1.5</w:t>
      </w:r>
      <w:r>
        <w:t xml:space="preserve"> </w:t>
      </w:r>
      <w:r>
        <w:t xml:space="preserve">SD), higher maximum temperature (max anomaly +0.8 SD), and higher VPD (max anomaly</w:t>
      </w:r>
      <w:r>
        <w:t xml:space="preserve"> </w:t>
      </w:r>
      <w:r>
        <w:rPr>
          <w:bCs/>
          <w:b/>
        </w:rPr>
        <w:t xml:space="preserve">&gt;2</w:t>
      </w:r>
      <w:r>
        <w:t xml:space="preserve"> </w:t>
      </w:r>
      <w:r>
        <w:t xml:space="preserve">SD).</w:t>
      </w:r>
      <w:r>
        <w:t xml:space="preserve"> </w:t>
      </w:r>
      <w:r>
        <w:t xml:space="preserve">Multi-month SPEI values reached their minima in May, after which unusually wet conditions led to a fairly rapid recovery to normal conditions.</w:t>
      </w:r>
      <w:r>
        <w:t xml:space="preserve"> </w:t>
      </w:r>
      <w:r>
        <w:t xml:space="preserve">1- to 6-month SPEI values reached minima between -1.5 and -2, indicative of severe drought, while the 12-month values remained above -1, indicative of mild drought.</w:t>
      </w:r>
    </w:p>
    <w:p>
      <w:pPr>
        <w:pStyle w:val="BodyText"/>
      </w:pPr>
      <w:r>
        <w:t xml:space="preserve">In 2015, pronounced meteorological anomalies on the 30-day scale occurred during the wet season, including precipitation (min anomaly</w:t>
      </w:r>
      <w:r>
        <w:t xml:space="preserve"> </w:t>
      </w:r>
      <w:r>
        <w:rPr>
          <w:bCs/>
          <w:b/>
        </w:rPr>
        <w:t xml:space="preserve">&lt;-1.5</w:t>
      </w:r>
      <w:r>
        <w:t xml:space="preserve"> </w:t>
      </w:r>
      <w:r>
        <w:t xml:space="preserve">SD), number of dry days (max anomaly</w:t>
      </w:r>
      <w:r>
        <w:t xml:space="preserve"> </w:t>
      </w:r>
      <w:r>
        <w:rPr>
          <w:bCs/>
          <w:b/>
        </w:rPr>
        <w:t xml:space="preserve">&gt;1.5</w:t>
      </w:r>
      <w:r>
        <w:t xml:space="preserve"> </w:t>
      </w:r>
      <w:r>
        <w:t xml:space="preserve">SD), maximum monthly mean temperatures (max anomaly +1.5 SD), and monthly maximum VPD (max anomaly +2 SD).</w:t>
      </w:r>
      <w:r>
        <w:t xml:space="preserve"> </w:t>
      </w:r>
      <w:r>
        <w:t xml:space="preserve"> </w:t>
      </w:r>
      <w:r>
        <w:t xml:space="preserve">1-month SPEI was &lt;-1 in May and June, reaching -2 in May, the lowest in the the entire dendroband census time period.</w:t>
      </w:r>
      <w:r>
        <w:t xml:space="preserve"> </w:t>
      </w:r>
      <w:r>
        <w:t xml:space="preserve">Multi-month SPEI values reached their minima between June and August and remained negative into the subsequent dry season.</w:t>
      </w:r>
      <w:r>
        <w:t xml:space="preserve"> </w:t>
      </w:r>
      <w:r>
        <w:t xml:space="preserve">1- to 6-month SPEI values reached minima &lt;2, indicative of extreme drought, while the 12-month values remained just above -2, indicative of severe drought.</w:t>
      </w:r>
    </w:p>
    <w:bookmarkEnd w:id="37"/>
    <w:bookmarkStart w:id="38" w:name="growth-timeseries-and-drought-responses"/>
    <w:p>
      <w:pPr>
        <w:pStyle w:val="Heading2"/>
      </w:pPr>
      <w:r>
        <w:t xml:space="preserve">Growth timeseries and drought responses</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1.73</w:t>
      </w:r>
      <w:r>
        <w:t xml:space="preserve"> </w:t>
      </w:r>
      <m:oMath>
        <m:r>
          <m:rPr>
            <m:sty m:val="p"/>
          </m:rPr>
          <m:t>±</m:t>
        </m:r>
      </m:oMath>
      <w:r>
        <w:t xml:space="preserve"> </w:t>
      </w:r>
      <w:r>
        <w:t xml:space="preserve">2.79 mm.</w:t>
      </w:r>
      <w:r>
        <w:t xml:space="preserve"> </w:t>
      </w:r>
      <w:r>
        <w:t xml:space="preserve">Median annual increment differed by species with</w:t>
      </w:r>
      <w:r>
        <w:t xml:space="preserve"> </w:t>
      </w:r>
      <w:r>
        <w:rPr>
          <w:iCs/>
          <w:i/>
        </w:rPr>
        <w:t xml:space="preserve">Gluta obovata</w:t>
      </w:r>
      <w:r>
        <w:t xml:space="preserve"> </w:t>
      </w:r>
      <w:r>
        <w:t xml:space="preserve">having 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 among the 30 species analysed.</w:t>
      </w:r>
      <w:r>
        <w:t xml:space="preserve"> </w:t>
      </w:r>
    </w:p>
    <w:p>
      <w:pPr>
        <w:pStyle w:val="BodyText"/>
      </w:pPr>
      <w:r>
        <w:t xml:space="preserve">Drought years were associated with lower growth across the plot.</w:t>
      </w:r>
      <w:r>
        <w:t xml:space="preserve"> </w:t>
      </w:r>
      <w:r>
        <w:t xml:space="preserve">In 2010, the median annual increment was 1.5 mm, 13.33% lower than the median across all years.</w:t>
      </w:r>
      <w:r>
        <w:t xml:space="preserve"> </w:t>
      </w:r>
      <w:r>
        <w:t xml:space="preserve">The drought year 2015 had the lowest median annual increment 0.82 mm, 52.68% lower than the median across all years.</w:t>
      </w:r>
      <w:r>
        <w:t xml:space="preserve"> </w:t>
      </w:r>
      <w:r>
        <w:t xml:space="preserve">While median species responses to the 2010 drought were variable, all species had lower increment than a typical year in 2015.</w:t>
      </w:r>
      <w:r>
        <w:t xml:space="preserve"> </w:t>
      </w:r>
      <w:r>
        <w:t xml:space="preserve"> </w:t>
      </w:r>
      <w:r>
        <w:t xml:space="preserve"> </w:t>
      </w:r>
      <w:r>
        <w:t xml:space="preserve"> </w:t>
      </w:r>
    </w:p>
    <w:p>
      <w:pPr>
        <w:pStyle w:val="BodyText"/>
      </w:pPr>
      <w:r>
        <w:t xml:space="preserve">On average, trees had negative drought sensitivities for both droughts, but with considerable variation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w:t>
      </w:r>
    </w:p>
    <w:bookmarkEnd w:id="38"/>
    <w:bookmarkStart w:id="43" w:name="species-effects"/>
    <w:p>
      <w:pPr>
        <w:pStyle w:val="Heading2"/>
      </w:pPr>
      <w:r>
        <w:t xml:space="preserve">Species effects</w:t>
      </w:r>
    </w:p>
    <w:p>
      <w:pPr>
        <w:pStyle w:val="FirstParagraph"/>
      </w:pPr>
      <w:r>
        <w:t xml:space="preserve">Species median sensitivities in 2010 and 2015 were not correlated with each other (Pearson’s correlation coefficient r = 0.11, p = 0.57, Fig S5) but on average had lower mean and median sensitivities in 2015 than in 2010 (Fig S5), in alignment with median sensitivities across all trees.</w:t>
      </w:r>
    </w:p>
    <w:p>
      <w:pPr>
        <w:pStyle w:val="BodyText"/>
      </w:pPr>
      <w:r>
        <w:t xml:space="preserve">Deciduousness species had lower negative sensitivities in 2015, but not in 2010 (Fig 3a).</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p>
      <w:pPr>
        <w:pStyle w:val="CaptionedFigure"/>
      </w:pPr>
      <w:r>
        <w:drawing>
          <wp:inline>
            <wp:extent cx="5943600" cy="5943600"/>
            <wp:effectExtent b="0" l="0" r="0" t="0"/>
            <wp:docPr descr="Figure 3: Variation in sensitivity among species 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40" name="Picture"/>
            <a:graphic>
              <a:graphicData uri="http://schemas.openxmlformats.org/drawingml/2006/picture">
                <pic:pic>
                  <pic:nvPicPr>
                    <pic:cNvPr descr="display/Fig3.png" id="41"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2">
        <w:r>
          <w:rPr>
            <w:rStyle w:val="Hyperlink"/>
          </w:rPr>
          <w:t xml:space="preserve">https://github.com/forestgeo/growth-precip-thailand/issues/12</w:t>
        </w:r>
      </w:hyperlink>
    </w:p>
    <w:bookmarkEnd w:id="43"/>
    <w:bookmarkStart w:id="52" w:name="microenvironment-and-individual-effects"/>
    <w:p>
      <w:pPr>
        <w:pStyle w:val="Heading2"/>
      </w:pPr>
      <w:r>
        <w:t xml:space="preserve">Microenvironment and individual effects</w:t>
      </w:r>
    </w:p>
    <w:p>
      <w:pPr>
        <w:pStyle w:val="FirstParagraph"/>
      </w:pPr>
      <w:r>
        <w:t xml:space="preserve">The test of whether individual trees responded similarly to the two drought events showed no correlation (Fig S6).</w:t>
      </w:r>
    </w:p>
    <w:p>
      <w:pPr>
        <w:pStyle w:val="BodyText"/>
      </w:pPr>
      <w:r>
        <w:t xml:space="preserve">TWI showed no significant effect on sensitivity in 2010, but did show a positive effect in 2015.</w:t>
      </w:r>
      <w:r>
        <w:t xml:space="preserve"> </w:t>
      </w:r>
      <w:r>
        <w:t xml:space="preserve">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differing effects of TWI on sensitivity in the two droughts, along with the influence of deciduousness, were confirmed by models that controlled for crown exposure and DBH as well as species variation in intercept and slopes (Fig 4a).</w:t>
      </w:r>
      <w:r>
        <w:t xml:space="preserve"> </w:t>
      </w:r>
      <w:r>
        <w:t xml:space="preserve">These models showed small negative sensitivities in wetter sites in 2010 (median effect =-0.04, 90% CI -0.09, 0.02), but a strong positive effect of TWI in 2015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increase with TWI (Fig 4c).</w:t>
      </w:r>
      <w:r>
        <w:t xml:space="preserve"> </w:t>
      </w:r>
      <w:r>
        <w:t xml:space="preserve">On the other hand, neither the mean sensitivities across species nor their response to TWI were associated with deciduousness in 2010.</w:t>
      </w:r>
    </w:p>
    <w:p>
      <w:pPr>
        <w:pStyle w:val="CaptionedFigure"/>
      </w:pPr>
      <w:r>
        <w:drawing>
          <wp:inline>
            <wp:extent cx="5943600" cy="356616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panel a); coloured lines for each species reflects deciduousness values. For comments - https://github.com/forestgeo/growth-precip-thailand/issues/13" title="" id="45" name="Picture"/>
            <a:graphic>
              <a:graphicData uri="http://schemas.openxmlformats.org/drawingml/2006/picture">
                <pic:pic>
                  <pic:nvPicPr>
                    <pic:cNvPr descr="display/Fig4.png" id="46" name="Picture"/>
                    <pic:cNvPicPr>
                      <a:picLocks noChangeArrowheads="1" noChangeAspect="1"/>
                    </pic:cNvPicPr>
                  </pic:nvPicPr>
                  <pic:blipFill>
                    <a:blip r:embed="rId44"/>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(panel a); coloured lines for each species reflects deciduousness values. For comments -</w:t>
      </w:r>
      <w:r>
        <w:t xml:space="preserve"> </w:t>
      </w:r>
      <w:hyperlink r:id="rId47">
        <w:r>
          <w:rPr>
            <w:rStyle w:val="Hyperlink"/>
          </w:rPr>
          <w:t xml:space="preserve">https://github.com/forestgeo/growth-precip-thailand/issues/13</w:t>
        </w:r>
      </w:hyperlink>
    </w:p>
    <w:p>
      <w:pPr>
        <w:pStyle w:val="BodyText"/>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DBH was a significant predictor of crown exposure, with larger DBH associated with higher exposure categories in 2010 (median effect =4.02, 90% CI 3.75, 4.29) and 2015 (median effect =4.2, 90% CI 3.92, 4.49) (Fig 5a).</w:t>
      </w:r>
      <w:r>
        <w:t xml:space="preserve"> </w:t>
      </w:r>
      <w:r>
        <w:t xml:space="preserve">Controlling for this direct effect of exposure, the remaining effect of DBH</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4457699"/>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 https://github.com/forestgeo/growth-precip-thailand/issues/14" title="" id="49" name="Picture"/>
            <a:graphic>
              <a:graphicData uri="http://schemas.openxmlformats.org/drawingml/2006/picture">
                <pic:pic>
                  <pic:nvPicPr>
                    <pic:cNvPr descr="display/Fig5.png" id="50" name="Picture"/>
                    <pic:cNvPicPr>
                      <a:picLocks noChangeArrowheads="1" noChangeAspect="1"/>
                    </pic:cNvPicPr>
                  </pic:nvPicPr>
                  <pic:blipFill>
                    <a:blip r:embed="rId48"/>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w:t>
      </w:r>
      <w:r>
        <w:t xml:space="preserve"> </w:t>
      </w:r>
      <w:hyperlink r:id="rId51">
        <w:r>
          <w:rPr>
            <w:rStyle w:val="Hyperlink"/>
          </w:rPr>
          <w:t xml:space="preserve">https://github.com/forestgeo/growth-precip-thailand/issues/14</w:t>
        </w:r>
      </w:hyperlink>
    </w:p>
    <w:bookmarkEnd w:id="52"/>
    <w:bookmarkEnd w:id="53"/>
    <w:bookmarkStart w:id="54" w:name="discussion"/>
    <w:p>
      <w:pPr>
        <w:pStyle w:val="Heading1"/>
      </w:pPr>
      <w:r>
        <w:t xml:space="preserve">Discussion</w:t>
      </w:r>
    </w:p>
    <w:p>
      <w:pPr>
        <w:pStyle w:val="FirstParagraph"/>
      </w:pPr>
      <w:r>
        <w:t xml:space="preserve">We show that, in one tropical seasonal forest, the drought sensitivity of tree growth is jointly and interactively shaped by drought characteristics, species adaptations, and local environmental conditions (Table 1).</w:t>
      </w:r>
      <w:r>
        <w:t xml:space="preserve"> </w:t>
      </w:r>
      <w:r>
        <w:t xml:space="preserve">Analysing two droughts in a 14-year dendrometer band time series, we found lower-than-average growth in drought years, resulting in lower plot-level growth (Fig 2).</w:t>
      </w:r>
      <w:r>
        <w:t xml:space="preserve"> </w:t>
      </w:r>
      <w:r>
        <w:t xml:space="preserve">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absolute extremes of temperature, vapor pressure deficit, and number of dry days (Fig. 2a), drought in the wet season (2015) elicited stronger responses across trees, especially deciduous species, which are expected to have stronger seasonality in growth phenology (Fig 3).</w:t>
      </w:r>
      <w:r>
        <w:t xml:space="preserve"> </w:t>
      </w:r>
      <w:r>
        <w:t xml:space="preserve">Interestingly, in 2015 (but not 2010), evergreen and deciduous species had divergent responses along a wetness gradient; evergreen trees fared better and deciduous species suffered worse declines in wetter sites (Fig 3b, Fig 4b).</w:t>
      </w:r>
      <w:r>
        <w:t xml:space="preserve"> </w:t>
      </w:r>
      <w:r>
        <w:t xml:space="preserve">Although trees with more exposed crowns were consistently more sensitive to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two different droughts; larger trees fared better in the dry-season drought while trees in wetter sites suffered smaller growth declines in the wet-season drought (Fig 5).</w:t>
      </w:r>
      <w:r>
        <w:t xml:space="preserve"> </w:t>
      </w:r>
      <w:r>
        <w:t xml:space="preserve"> </w:t>
      </w:r>
      <w:r>
        <w:t xml:space="preserve">Taken together, these results indicate that joint and interactive effects of drought characteristics, species traits, and individual microenvironments produce important heterogeneity in individual and species drought responses of tropical trees.</w:t>
      </w:r>
      <w:r>
        <w:t xml:space="preserve"> </w:t>
      </w:r>
      <w:r>
        <w:t xml:space="preserve">This finding that individual droughts have divergent effects on species and individuals may contribute to the maintenance of species diveristy and ecosystem stability.</w:t>
      </w:r>
    </w:p>
    <w:p>
      <w:pPr>
        <w:pStyle w:val="BodyText"/>
      </w:pPr>
      <w:r>
        <w:t xml:space="preserve">While our analysis of 30 species across size classes and habitats spans representative spatial and ecological variation realistically and beyond the scope of previous such analyses, we are limited in quantitatively analysing differences associated with drought characteristics because of low sample size.</w:t>
      </w:r>
      <w:r>
        <w:t xml:space="preserve"> </w:t>
      </w:r>
      <w:r>
        <w:t xml:space="preserve"> </w:t>
      </w:r>
      <w:r>
        <w:t xml:space="preserve"> </w:t>
      </w:r>
      <w:r>
        <w:t xml:space="preserve">The two droughts analyzed differed in multiple aspects, including ENSO strength, seasonal timing, magnitude and duration of meteorological extremes and anomalies, and severity as classified the SPEI metric (Fig. 1). This is a central finding of our study.</w:t>
      </w:r>
      <w:r>
        <w:t xml:space="preserve"> </w:t>
      </w:r>
      <w:r>
        <w:t xml:space="preserve"> </w:t>
      </w:r>
      <w:r>
        <w:t xml:space="preserve">However, our finding that a wet-season drought in 2015 had greater impact on woody growth than a dry-season drought in 2010 questions the generality of previous findings. 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 But given that the 2015 drought was more anomalous on multi-month time scales (Fig. 1) does not align with this assumption.</w:t>
      </w:r>
      <w:r>
        <w:t xml:space="preserve"> </w:t>
      </w:r>
      <w:r>
        <w:t xml:space="preserve">Generalization of tropical tree growth responses to any specific drought seems to require fine-scale monitoring of growth (i.e., dendrometer band measurements or dendrochronology when possible) from species that might span importance and drought strategies over different timings and intensities of droughts. Advancing efforts to collect this level of data is critical to our assessment and prediction of drought responses of tropical forets to changing precipitation patterns.</w:t>
      </w:r>
      <w:r>
        <w:t xml:space="preserve"> </w:t>
      </w:r>
    </w:p>
    <w:p>
      <w:pPr>
        <w:pStyle w:val="BodyText"/>
      </w:pPr>
      <w:r>
        <w:t xml:space="preserve">We have demonstrated that species identity and a key species adaptation (decidousness) interact with drought characteristics and microenvironment to shape drought responses in a dry tropical forest.</w:t>
      </w:r>
      <w:r>
        <w:t xml:space="preserve"> </w:t>
      </w:r>
      <w:r>
        <w:t xml:space="preserve">Tropical dry forests represent periodic hot/dry conditions, creating selective pressures for adaptative variation towards drought resistance, and this might mean that species in tropical dry forests exhibit a greater diversity of drought responess than species in other bioclimatic zones where adaptive pressures and thus ecological variability are different.</w:t>
      </w:r>
      <w:r>
        <w:t xml:space="preserve"> </w:t>
      </w:r>
      <w:r>
        <w:t xml:space="preserve">Strong seasonality in tropical dry forests exerts selective pressures on hydraulic strategies and has resulted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w:t>
      </w:r>
      <w:r>
        <w:t xml:space="preserve"> </w:t>
      </w:r>
      <w:r>
        <w:t xml:space="preserve">Again, continued expansion of dendrometer band records and ecophysiological study of tropical tree drought responses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One variable examined here – crown exposure – had a consistent effect across the two droughts (Table 1, Figs. 4, 5).</w:t>
      </w:r>
      <w:r>
        <w:t xml:space="preserve"> </w:t>
      </w:r>
      <w:r>
        <w:t xml:space="preserve">Trees with more exposed crowns exhibited greater growth declines in both droughts, while sub-canopy trees grew more than average during the 2010 drought.</w:t>
      </w:r>
      <w:r>
        <w:t xml:space="preserve"> </w:t>
      </w:r>
      <w:r>
        <w:t xml:space="preserve">This finding is consistent with the concept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strong and consistent negative effect of crown position makes sense in light of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Together, these findings imply that while canopy and emergent trees face the greatest stress and exhibit the most negative growth responses in almost any drought, a suite of species traits and microenvironmental characteristics modify growth responses in interaction with drought characteristics.</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two events; it’s growth nearly doubled in the dry-season drought but was severely reduced in the wet-season drought (Fig. S5).</w:t>
      </w:r>
      <w:r>
        <w:t xml:space="preserve"> </w:t>
      </w:r>
      <w:r>
        <w:t xml:space="preserve">More generally, tree-ring records are likely to give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 directly and interactively influence drought sensitivity.</w:t>
      </w:r>
      <w:r>
        <w:t xml:space="preserve"> </w:t>
      </w:r>
      <w:r>
        <w:t xml:space="preserve">Our analyses reveal a complex heterogeneity of drought responses, including the contrasting influence of deciduousness in the two different droughts, showing that ecological and evolutionary strategies make particular species and trees resistant to some droughts but vulnerable to others.</w:t>
      </w:r>
      <w:r>
        <w:t xml:space="preserve"> </w:t>
      </w:r>
      <w:r>
        <w:t xml:space="preserve">These distinct responses of species and individuals to drought characteristics suggests potential spatiotemporal insurance effects among tropical tree response to drought,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54"/>
    <w:bookmarkStart w:id="55" w:name="acknowledgements"/>
    <w:p>
      <w:pPr>
        <w:pStyle w:val="Heading1"/>
      </w:pPr>
      <w:r>
        <w:t xml:space="preserve">Acknowledgements</w:t>
      </w:r>
    </w:p>
    <w:p>
      <w:pPr>
        <w:pStyle w:val="FirstParagraph"/>
      </w:pPr>
      <w:r>
        <w:t xml:space="preserve">We acknowledge the continued contributions of the Huai Kha Khaeng forest monitoring team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in completing this work.</w:t>
      </w:r>
    </w:p>
    <w:p>
      <w:r>
        <w:br w:type="page"/>
      </w:r>
    </w:p>
    <w:bookmarkEnd w:id="55"/>
    <w:bookmarkStart w:id="149" w:name="references"/>
    <w:p>
      <w:pPr>
        <w:pStyle w:val="Heading1"/>
      </w:pPr>
      <w:r>
        <w:t xml:space="preserve">References</w:t>
      </w:r>
    </w:p>
    <w:bookmarkStart w:id="148" w:name="refs"/>
    <w:bookmarkStart w:id="57"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6">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7"/>
    <w:bookmarkStart w:id="59"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58">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59"/>
    <w:bookmarkStart w:id="61"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60">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61"/>
    <w:bookmarkStart w:id="63" w:name="ref-bamston_documentation_1997"/>
    <w:p>
      <w:pPr>
        <w:pStyle w:val="Bibliography"/>
      </w:pPr>
      <w:r>
        <w:t xml:space="preserve">Bamston, A.G., Chelliah, M. &amp; Goldenberg, S.B. (1997).</w:t>
      </w:r>
      <w:r>
        <w:t xml:space="preserve"> </w:t>
      </w:r>
      <w:hyperlink r:id="rId62">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63"/>
    <w:bookmarkStart w:id="65" w:name="ref-bennett_larger_2015"/>
    <w:p>
      <w:pPr>
        <w:pStyle w:val="Bibliography"/>
      </w:pPr>
      <w:r>
        <w:t xml:space="preserve">Bennett, A.C., McDowell, N.G., Allen, C.D. &amp; Anderson-Teixeira, K.J. (2015).</w:t>
      </w:r>
      <w:r>
        <w:t xml:space="preserve"> </w:t>
      </w:r>
      <w:hyperlink r:id="rId64">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5"/>
    <w:bookmarkStart w:id="67"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6">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7"/>
    <w:bookmarkStart w:id="69"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68">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69"/>
    <w:bookmarkStart w:id="71" w:name="ref-bürkner_brms_2017"/>
    <w:p>
      <w:pPr>
        <w:pStyle w:val="Bibliography"/>
      </w:pPr>
      <w:r>
        <w:t xml:space="preserve">Bürkner, P.-C. (2017).</w:t>
      </w:r>
      <w:r>
        <w:t xml:space="preserve"> </w:t>
      </w:r>
      <w:hyperlink r:id="rId70">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71"/>
    <w:bookmarkStart w:id="72"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72"/>
    <w:bookmarkStart w:id="74"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73">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4"/>
    <w:bookmarkStart w:id="76" w:name="ref-clark_annual_2021"/>
    <w:p>
      <w:pPr>
        <w:pStyle w:val="Bibliography"/>
      </w:pPr>
      <w:r>
        <w:t xml:space="preserve">Clark, D.A., Clark, D.B. &amp; Oberbauer, S.F. (2021).</w:t>
      </w:r>
      <w:r>
        <w:t xml:space="preserve"> </w:t>
      </w:r>
      <w:hyperlink r:id="rId75">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76"/>
    <w:bookmarkStart w:id="78" w:name="ref-clark_annual_2010"/>
    <w:p>
      <w:pPr>
        <w:pStyle w:val="Bibliography"/>
      </w:pPr>
      <w:r>
        <w:t xml:space="preserve">Clark, D.B., Clark, D.A. &amp; Oberbauer, S.F. (2010).</w:t>
      </w:r>
      <w:r>
        <w:t xml:space="preserve"> </w:t>
      </w:r>
      <w:hyperlink r:id="rId77">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78"/>
    <w:bookmarkStart w:id="79" w:name="ref-condit_dendrometer_"/>
    <w:p>
      <w:pPr>
        <w:pStyle w:val="Bibliography"/>
      </w:pPr>
      <w:r>
        <w:t xml:space="preserve">Condit, R. (n.d.). Dendrometer to</w:t>
      </w:r>
      <w:r>
        <w:t xml:space="preserve"> </w:t>
      </w:r>
      <w:r>
        <w:t xml:space="preserve">Diameter</w:t>
      </w:r>
      <w:r>
        <w:t xml:space="preserve">.</w:t>
      </w:r>
    </w:p>
    <w:bookmarkEnd w:id="79"/>
    <w:bookmarkStart w:id="81" w:name="ref-dahinden_future_2017"/>
    <w:p>
      <w:pPr>
        <w:pStyle w:val="Bibliography"/>
      </w:pPr>
      <w:r>
        <w:t xml:space="preserve">Dahinden, F., Fischer, E.M. &amp; Knutti, R. (2017).</w:t>
      </w:r>
      <w:r>
        <w:t xml:space="preserve"> </w:t>
      </w:r>
      <w:hyperlink r:id="rId80">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81"/>
    <w:bookmarkStart w:id="83" w:name="ref-desouza_drought_2020"/>
    <w:p>
      <w:pPr>
        <w:pStyle w:val="Bibliography"/>
      </w:pPr>
      <w:r>
        <w:t xml:space="preserve">De Souza, B.C., Carvalho, E.C.D., Oliveira, R.S., De Araujo, F.S., De Lima, A.L.A. &amp; Rodal, M.J.N. (2020).</w:t>
      </w:r>
      <w:r>
        <w:t xml:space="preserve"> </w:t>
      </w:r>
      <w:hyperlink r:id="rId82">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83"/>
    <w:bookmarkStart w:id="85" w:name="ref-fernández-de-uña_role_2023"/>
    <w:p>
      <w:pPr>
        <w:pStyle w:val="Bibliography"/>
      </w:pPr>
      <w:r>
        <w:t xml:space="preserve">Fernández-de-Uña, L., Martínez-Vilalta, J., Poyatos, R., Mencuccini, M. &amp; McDowell, N.G. (2023).</w:t>
      </w:r>
      <w:r>
        <w:t xml:space="preserve"> </w:t>
      </w:r>
      <w:hyperlink r:id="rId84">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85"/>
    <w:bookmarkStart w:id="87"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86">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87"/>
    <w:bookmarkStart w:id="89" w:name="ref-garcía-cervigón_climate_2020"/>
    <w:p>
      <w:pPr>
        <w:pStyle w:val="Bibliography"/>
      </w:pPr>
      <w:r>
        <w:t xml:space="preserve">García-Cervigón, A.I., Camarero, J.J., Cueva, E., Espinosa, C.I. &amp; Escudero, A. (2020).</w:t>
      </w:r>
      <w:r>
        <w:t xml:space="preserve"> </w:t>
      </w:r>
      <w:hyperlink r:id="rId88">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89"/>
    <w:bookmarkStart w:id="91"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90">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1"/>
    <w:bookmarkStart w:id="93"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92">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93"/>
    <w:bookmarkStart w:id="95" w:name="ref-hulshof_variation_2010"/>
    <w:p>
      <w:pPr>
        <w:pStyle w:val="Bibliography"/>
      </w:pPr>
      <w:r>
        <w:t xml:space="preserve">Hulshof, C.M. &amp; Swenson, N.G. (2010).</w:t>
      </w:r>
      <w:r>
        <w:t xml:space="preserve"> </w:t>
      </w:r>
      <w:hyperlink r:id="rId94">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95"/>
    <w:bookmarkStart w:id="97" w:name="ref-ipcc_climate_2023"/>
    <w:p>
      <w:pPr>
        <w:pStyle w:val="Bibliography"/>
      </w:pPr>
      <w:r>
        <w:t xml:space="preserve">IPCC. (2023).</w:t>
      </w:r>
      <w:r>
        <w:t xml:space="preserve"> </w:t>
      </w:r>
      <w:hyperlink r:id="rId96">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97"/>
    <w:bookmarkStart w:id="99"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98">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99"/>
    <w:bookmarkStart w:id="100"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100"/>
    <w:bookmarkStart w:id="102" w:name="ref-liu_drought_2022"/>
    <w:p>
      <w:pPr>
        <w:pStyle w:val="Bibliography"/>
      </w:pPr>
      <w:r>
        <w:t xml:space="preserve">Liu, D., Wang, T., Peñuelas, J. &amp; Piao, S. (2022).</w:t>
      </w:r>
      <w:r>
        <w:t xml:space="preserve"> </w:t>
      </w:r>
      <w:hyperlink r:id="rId101">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102"/>
    <w:bookmarkStart w:id="104" w:name="ref-luo_tropical_2022"/>
    <w:p>
      <w:pPr>
        <w:pStyle w:val="Bibliography"/>
      </w:pPr>
      <w:r>
        <w:t xml:space="preserve">Luo, X. &amp; Keenan, T.F. (2022).</w:t>
      </w:r>
      <w:r>
        <w:t xml:space="preserve"> </w:t>
      </w:r>
      <w:hyperlink r:id="rId103">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04"/>
    <w:bookmarkStart w:id="106" w:name="ref-ma_tree_2023"/>
    <w:p>
      <w:pPr>
        <w:pStyle w:val="Bibliography"/>
      </w:pPr>
      <w:r>
        <w:t xml:space="preserve">Ma, Q., Su, Y., Niu, C., Ma, Q., Hu, T., Luo, X.,</w:t>
      </w:r>
      <w:r>
        <w:t xml:space="preserve"> </w:t>
      </w:r>
      <w:r>
        <w:rPr>
          <w:iCs/>
          <w:i/>
        </w:rPr>
        <w:t xml:space="preserve">et al.</w:t>
      </w:r>
      <w:r>
        <w:t xml:space="preserve"> (2023).</w:t>
      </w:r>
      <w:r>
        <w:t xml:space="preserve"> </w:t>
      </w:r>
      <w:hyperlink r:id="rId105">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106"/>
    <w:bookmarkStart w:id="108" w:name="ref-mcdowell_darcys_2015"/>
    <w:p>
      <w:pPr>
        <w:pStyle w:val="Bibliography"/>
      </w:pPr>
      <w:r>
        <w:t xml:space="preserve">McDowell, N.G. &amp; Allen, C.D. (2015).</w:t>
      </w:r>
      <w:r>
        <w:t xml:space="preserve"> </w:t>
      </w:r>
      <w:hyperlink r:id="rId107">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108"/>
    <w:bookmarkStart w:id="110"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09">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10"/>
    <w:bookmarkStart w:id="111" w:name="ref-muller-landau_metal_2008"/>
    <w:p>
      <w:pPr>
        <w:pStyle w:val="Bibliography"/>
      </w:pPr>
      <w:r>
        <w:t xml:space="preserve">Muller-Landau, H.C. (2008). Metal</w:t>
      </w:r>
      <w:r>
        <w:t xml:space="preserve"> </w:t>
      </w:r>
      <w:r>
        <w:t xml:space="preserve">Band Dendrometer Protocol</w:t>
      </w:r>
      <w:r>
        <w:t xml:space="preserve">.</w:t>
      </w:r>
    </w:p>
    <w:bookmarkEnd w:id="111"/>
    <w:bookmarkStart w:id="113"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12">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13"/>
    <w:bookmarkStart w:id="115" w:name="ref-oliveira_linking_2021"/>
    <w:p>
      <w:pPr>
        <w:pStyle w:val="Bibliography"/>
      </w:pPr>
      <w:r>
        <w:t xml:space="preserve">Oliveira, R.S., Eller, C.B., Barros, F. de V., Hirota, M., Brum, M. &amp; Bittencourt, P. (2021).</w:t>
      </w:r>
      <w:r>
        <w:t xml:space="preserve"> </w:t>
      </w:r>
      <w:hyperlink r:id="rId114">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15"/>
    <w:bookmarkStart w:id="116"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16"/>
    <w:bookmarkStart w:id="118" w:name="ref-raesch_pvldcurve_2020"/>
    <w:p>
      <w:pPr>
        <w:pStyle w:val="Bibliography"/>
      </w:pPr>
      <w:r>
        <w:t xml:space="preserve">Raesch, A. (2020).</w:t>
      </w:r>
      <w:r>
        <w:t xml:space="preserve"> </w:t>
      </w:r>
      <w:hyperlink r:id="rId117">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18"/>
    <w:bookmarkStart w:id="120" w:name="ref-räsänen_spatial_2016"/>
    <w:p>
      <w:pPr>
        <w:pStyle w:val="Bibliography"/>
      </w:pPr>
      <w:r>
        <w:t xml:space="preserve">Räsänen, T.A., Lindgren, V., Guillaume, J.H.A., Buckley, B.M. &amp; Kummu, M. (2016).</w:t>
      </w:r>
      <w:r>
        <w:t xml:space="preserve"> </w:t>
      </w:r>
      <w:hyperlink r:id="rId119">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20"/>
    <w:bookmarkStart w:id="122" w:name="ref-scharnweber_confessions_2019"/>
    <w:p>
      <w:pPr>
        <w:pStyle w:val="Bibliography"/>
      </w:pPr>
      <w:r>
        <w:t xml:space="preserve">Scharnweber, T., Heinze, L., Cruz-García, R., van der Maaten-Theunissen, M. &amp; Wilmking, M. (2019).</w:t>
      </w:r>
      <w:r>
        <w:t xml:space="preserve"> </w:t>
      </w:r>
      <w:hyperlink r:id="rId121">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22"/>
    <w:bookmarkStart w:id="124"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23">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24"/>
    <w:bookmarkStart w:id="125"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25"/>
    <w:bookmarkStart w:id="127" w:name="ref-stahl_depth_2013"/>
    <w:p>
      <w:pPr>
        <w:pStyle w:val="Bibliography"/>
      </w:pPr>
      <w:r>
        <w:t xml:space="preserve">Stahl, C., Hérault, B., Rossi, V., Burban, B., Bréchet, C. &amp; Bonal, D. (2013).</w:t>
      </w:r>
      <w:r>
        <w:t xml:space="preserve"> </w:t>
      </w:r>
      <w:hyperlink r:id="rId126">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27"/>
    <w:bookmarkStart w:id="129" w:name="ref-trugman_why_2021"/>
    <w:p>
      <w:pPr>
        <w:pStyle w:val="Bibliography"/>
      </w:pPr>
      <w:r>
        <w:t xml:space="preserve">Trugman, A.T., Anderegg, L.D.L., Anderegg, W.R.L., Das, A.J. &amp; Stephenson, N.L. (2021).</w:t>
      </w:r>
      <w:r>
        <w:t xml:space="preserve"> </w:t>
      </w:r>
      <w:hyperlink r:id="rId128">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29"/>
    <w:bookmarkStart w:id="131" w:name="ref-vasey_intraspecific_2022"/>
    <w:p>
      <w:pPr>
        <w:pStyle w:val="Bibliography"/>
      </w:pPr>
      <w:r>
        <w:t xml:space="preserve">Vasey, G.L., Weisberg, P.J. &amp; Urza, A.K. (2022).</w:t>
      </w:r>
      <w:r>
        <w:t xml:space="preserve"> </w:t>
      </w:r>
      <w:hyperlink r:id="rId130">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31"/>
    <w:bookmarkStart w:id="132"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32"/>
    <w:bookmarkStart w:id="134" w:name="ref-vicente-serrano_multiscalar_2010"/>
    <w:p>
      <w:pPr>
        <w:pStyle w:val="Bibliography"/>
      </w:pPr>
      <w:r>
        <w:t xml:space="preserve">Vicente-Serrano, S.M., Beguería, S. &amp; López-Moreno, J.I. (2010).</w:t>
      </w:r>
      <w:r>
        <w:t xml:space="preserve"> </w:t>
      </w:r>
      <w:hyperlink r:id="rId133">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34"/>
    <w:bookmarkStart w:id="136" w:name="ref-vico_how_2017a"/>
    <w:p>
      <w:pPr>
        <w:pStyle w:val="Bibliography"/>
      </w:pPr>
      <w:r>
        <w:t xml:space="preserve">Vico, G., Dralle, D., Feng, X., Thompson, S. &amp; Manzoni, S. (2017).</w:t>
      </w:r>
      <w:r>
        <w:t xml:space="preserve"> </w:t>
      </w:r>
      <w:hyperlink r:id="rId135">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36"/>
    <w:bookmarkStart w:id="138"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37">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38"/>
    <w:bookmarkStart w:id="140" w:name="ref-vlam_temperature_2014"/>
    <w:p>
      <w:pPr>
        <w:pStyle w:val="Bibliography"/>
      </w:pPr>
      <w:r>
        <w:t xml:space="preserve">Vlam, M., Baker, P.J., Bunyavejchewin, S. &amp; Zuidema, P.A. (2014).</w:t>
      </w:r>
      <w:r>
        <w:t xml:space="preserve"> </w:t>
      </w:r>
      <w:hyperlink r:id="rId139">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40"/>
    <w:bookmarkStart w:id="142" w:name="ref-williams_deciduousness_2008"/>
    <w:p>
      <w:pPr>
        <w:pStyle w:val="Bibliography"/>
      </w:pPr>
      <w:r>
        <w:t xml:space="preserve">Williams, L.J., Bunyavejchewin, S. &amp; Baker, P.J. (2008).</w:t>
      </w:r>
      <w:r>
        <w:t xml:space="preserve"> </w:t>
      </w:r>
      <w:hyperlink r:id="rId141">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42"/>
    <w:bookmarkStart w:id="143"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43"/>
    <w:bookmarkStart w:id="145"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44">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45"/>
    <w:bookmarkStart w:id="147" w:name="ref-zuleta_droughtinduced_2017"/>
    <w:p>
      <w:pPr>
        <w:pStyle w:val="Bibliography"/>
      </w:pPr>
      <w:r>
        <w:t xml:space="preserve">Zuleta, D., Duque, A., Cardenas, D., Muller-Landau, H.C. &amp; Davies, S.J. (2017).</w:t>
      </w:r>
      <w:r>
        <w:t xml:space="preserve"> </w:t>
      </w:r>
      <w:hyperlink r:id="rId146">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47"/>
    <w:bookmarkEnd w:id="148"/>
    <w:bookmarkEnd w:id="149"/>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112" Target="https://doi.org/10.1002/2017GL076521" TargetMode="External" /><Relationship Type="http://schemas.openxmlformats.org/officeDocument/2006/relationships/hyperlink" Id="rId146" Target="https://doi.org/10.1002/ecy.1950" TargetMode="External" /><Relationship Type="http://schemas.openxmlformats.org/officeDocument/2006/relationships/hyperlink" Id="rId141" Target="https://doi.org/10.1007/s00442-007-0938-1" TargetMode="External" /><Relationship Type="http://schemas.openxmlformats.org/officeDocument/2006/relationships/hyperlink" Id="rId126" Target="https://doi.org/10.1007/s00442-013-2724-6" TargetMode="External" /><Relationship Type="http://schemas.openxmlformats.org/officeDocument/2006/relationships/hyperlink" Id="rId139" Target="https://doi.org/10.1007/s00442-013-2846-x" TargetMode="External" /><Relationship Type="http://schemas.openxmlformats.org/officeDocument/2006/relationships/hyperlink" Id="rId82" Target="https://doi.org/10.1007/s00442-020-04760-3" TargetMode="External" /><Relationship Type="http://schemas.openxmlformats.org/officeDocument/2006/relationships/hyperlink" Id="rId121" Target="https://doi.org/10.1016/j.dendro.2019.04.001" TargetMode="External" /><Relationship Type="http://schemas.openxmlformats.org/officeDocument/2006/relationships/hyperlink" Id="rId128" Target="https://doi.org/10.1016/j.tree.2021.02.001" TargetMode="External" /><Relationship Type="http://schemas.openxmlformats.org/officeDocument/2006/relationships/hyperlink" Id="rId96" Target="https://doi.org/10.1017/9781009157896" TargetMode="External" /><Relationship Type="http://schemas.openxmlformats.org/officeDocument/2006/relationships/hyperlink" Id="rId75" Target="https://doi.org/10.1029/2021JG006557" TargetMode="External" /><Relationship Type="http://schemas.openxmlformats.org/officeDocument/2006/relationships/hyperlink" Id="rId107" Target="https://doi.org/10.1038/nclimate2641" TargetMode="External" /><Relationship Type="http://schemas.openxmlformats.org/officeDocument/2006/relationships/hyperlink" Id="rId64" Target="https://doi.org/10.1038/nplants.2015.139" TargetMode="External" /><Relationship Type="http://schemas.openxmlformats.org/officeDocument/2006/relationships/hyperlink" Id="rId103" Target="https://doi.org/10.1038/s41467-022-28824-5" TargetMode="External" /><Relationship Type="http://schemas.openxmlformats.org/officeDocument/2006/relationships/hyperlink" Id="rId105" Target="https://doi.org/10.1038/s41467-023-43083-8" TargetMode="External" /><Relationship Type="http://schemas.openxmlformats.org/officeDocument/2006/relationships/hyperlink" Id="rId66"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44" Target="https://doi.org/10.1038/s41561-022-00911-8" TargetMode="External" /><Relationship Type="http://schemas.openxmlformats.org/officeDocument/2006/relationships/hyperlink" Id="rId101" Target="https://doi.org/10.1038/s41561-022-01026-w" TargetMode="External" /><Relationship Type="http://schemas.openxmlformats.org/officeDocument/2006/relationships/hyperlink" Id="rId62" Target="https://doi.org/10.1080/07055900.1997.9649597" TargetMode="External" /><Relationship Type="http://schemas.openxmlformats.org/officeDocument/2006/relationships/hyperlink" Id="rId135" Target="https://doi.org/10.1088/1748-9326/aa6f1b" TargetMode="External" /><Relationship Type="http://schemas.openxmlformats.org/officeDocument/2006/relationships/hyperlink" Id="rId80" Target="https://doi.org/10.1088/1748-9326/aa75d7" TargetMode="External" /><Relationship Type="http://schemas.openxmlformats.org/officeDocument/2006/relationships/hyperlink" Id="rId90" Target="https://doi.org/10.1111/ele.13659" TargetMode="External" /><Relationship Type="http://schemas.openxmlformats.org/officeDocument/2006/relationships/hyperlink" Id="rId58" Target="https://doi.org/10.1111/gcb.12712" TargetMode="External" /><Relationship Type="http://schemas.openxmlformats.org/officeDocument/2006/relationships/hyperlink" Id="rId86" Target="https://doi.org/10.1111/gcb.14367" TargetMode="External" /><Relationship Type="http://schemas.openxmlformats.org/officeDocument/2006/relationships/hyperlink" Id="rId123" Target="https://doi.org/10.1111/gcb.14747" TargetMode="External" /><Relationship Type="http://schemas.openxmlformats.org/officeDocument/2006/relationships/hyperlink" Id="rId60" Target="https://doi.org/10.1111/gcb.15934" TargetMode="External" /><Relationship Type="http://schemas.openxmlformats.org/officeDocument/2006/relationships/hyperlink" Id="rId92" Target="https://doi.org/10.1111/gcb.16082" TargetMode="External" /><Relationship Type="http://schemas.openxmlformats.org/officeDocument/2006/relationships/hyperlink" Id="rId94" Target="https://doi.org/10.1111/j.1365-2435.2009.01614.x" TargetMode="External" /><Relationship Type="http://schemas.openxmlformats.org/officeDocument/2006/relationships/hyperlink" Id="rId77" Target="https://doi.org/10.1111/j.1365-2486.2009.02004.x" TargetMode="External" /><Relationship Type="http://schemas.openxmlformats.org/officeDocument/2006/relationships/hyperlink" Id="rId130" Target="https://doi.org/10.1111/jbi.14515" TargetMode="External" /><Relationship Type="http://schemas.openxmlformats.org/officeDocument/2006/relationships/hyperlink" Id="rId88" Target="https://doi.org/10.1111/jvs.12840" TargetMode="External" /><Relationship Type="http://schemas.openxmlformats.org/officeDocument/2006/relationships/hyperlink" Id="rId109" Target="https://doi.org/10.1111/nph.16996" TargetMode="External" /><Relationship Type="http://schemas.openxmlformats.org/officeDocument/2006/relationships/hyperlink" Id="rId98" Target="https://doi.org/10.1111/nph.17187" TargetMode="External" /><Relationship Type="http://schemas.openxmlformats.org/officeDocument/2006/relationships/hyperlink" Id="rId114" Target="https://doi.org/10.1111/nph.17266" TargetMode="External" /><Relationship Type="http://schemas.openxmlformats.org/officeDocument/2006/relationships/hyperlink" Id="rId73" Target="https://doi.org/10.1111/nph.17464" TargetMode="External" /><Relationship Type="http://schemas.openxmlformats.org/officeDocument/2006/relationships/hyperlink" Id="rId137" Target="https://doi.org/10.1111/nph.18539" TargetMode="External" /><Relationship Type="http://schemas.openxmlformats.org/officeDocument/2006/relationships/hyperlink" Id="rId84" Target="https://doi.org/10.1111/nph.19130" TargetMode="External" /><Relationship Type="http://schemas.openxmlformats.org/officeDocument/2006/relationships/hyperlink" Id="rId68" Target="https://doi.org/10.1146/annurev-earth-082517-010235" TargetMode="External" /><Relationship Type="http://schemas.openxmlformats.org/officeDocument/2006/relationships/hyperlink" Id="rId133" Target="https://doi.org/10.1175/2009JCLI2909.1" TargetMode="External" /><Relationship Type="http://schemas.openxmlformats.org/officeDocument/2006/relationships/hyperlink" Id="rId70" Target="https://doi.org/10.18637/jss.v080.i01" TargetMode="External" /><Relationship Type="http://schemas.openxmlformats.org/officeDocument/2006/relationships/hyperlink" Id="rId117" Target="https://doi.org/10.32614/CRAN.package.pvldcurve" TargetMode="External" /><Relationship Type="http://schemas.openxmlformats.org/officeDocument/2006/relationships/hyperlink" Id="rId119" Target="https://doi.org/10.5194/cp-12-1889-2016"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12" Target="https://doi.org/10.1002/2017GL076521" TargetMode="External" /><Relationship Type="http://schemas.openxmlformats.org/officeDocument/2006/relationships/hyperlink" Id="rId146" Target="https://doi.org/10.1002/ecy.1950" TargetMode="External" /><Relationship Type="http://schemas.openxmlformats.org/officeDocument/2006/relationships/hyperlink" Id="rId141" Target="https://doi.org/10.1007/s00442-007-0938-1" TargetMode="External" /><Relationship Type="http://schemas.openxmlformats.org/officeDocument/2006/relationships/hyperlink" Id="rId126" Target="https://doi.org/10.1007/s00442-013-2724-6" TargetMode="External" /><Relationship Type="http://schemas.openxmlformats.org/officeDocument/2006/relationships/hyperlink" Id="rId139" Target="https://doi.org/10.1007/s00442-013-2846-x" TargetMode="External" /><Relationship Type="http://schemas.openxmlformats.org/officeDocument/2006/relationships/hyperlink" Id="rId82" Target="https://doi.org/10.1007/s00442-020-04760-3" TargetMode="External" /><Relationship Type="http://schemas.openxmlformats.org/officeDocument/2006/relationships/hyperlink" Id="rId121" Target="https://doi.org/10.1016/j.dendro.2019.04.001" TargetMode="External" /><Relationship Type="http://schemas.openxmlformats.org/officeDocument/2006/relationships/hyperlink" Id="rId128" Target="https://doi.org/10.1016/j.tree.2021.02.001" TargetMode="External" /><Relationship Type="http://schemas.openxmlformats.org/officeDocument/2006/relationships/hyperlink" Id="rId96" Target="https://doi.org/10.1017/9781009157896" TargetMode="External" /><Relationship Type="http://schemas.openxmlformats.org/officeDocument/2006/relationships/hyperlink" Id="rId75" Target="https://doi.org/10.1029/2021JG006557" TargetMode="External" /><Relationship Type="http://schemas.openxmlformats.org/officeDocument/2006/relationships/hyperlink" Id="rId107" Target="https://doi.org/10.1038/nclimate2641" TargetMode="External" /><Relationship Type="http://schemas.openxmlformats.org/officeDocument/2006/relationships/hyperlink" Id="rId64" Target="https://doi.org/10.1038/nplants.2015.139" TargetMode="External" /><Relationship Type="http://schemas.openxmlformats.org/officeDocument/2006/relationships/hyperlink" Id="rId103" Target="https://doi.org/10.1038/s41467-022-28824-5" TargetMode="External" /><Relationship Type="http://schemas.openxmlformats.org/officeDocument/2006/relationships/hyperlink" Id="rId105" Target="https://doi.org/10.1038/s41467-023-43083-8" TargetMode="External" /><Relationship Type="http://schemas.openxmlformats.org/officeDocument/2006/relationships/hyperlink" Id="rId66"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44" Target="https://doi.org/10.1038/s41561-022-00911-8" TargetMode="External" /><Relationship Type="http://schemas.openxmlformats.org/officeDocument/2006/relationships/hyperlink" Id="rId101" Target="https://doi.org/10.1038/s41561-022-01026-w" TargetMode="External" /><Relationship Type="http://schemas.openxmlformats.org/officeDocument/2006/relationships/hyperlink" Id="rId62" Target="https://doi.org/10.1080/07055900.1997.9649597" TargetMode="External" /><Relationship Type="http://schemas.openxmlformats.org/officeDocument/2006/relationships/hyperlink" Id="rId135" Target="https://doi.org/10.1088/1748-9326/aa6f1b" TargetMode="External" /><Relationship Type="http://schemas.openxmlformats.org/officeDocument/2006/relationships/hyperlink" Id="rId80" Target="https://doi.org/10.1088/1748-9326/aa75d7" TargetMode="External" /><Relationship Type="http://schemas.openxmlformats.org/officeDocument/2006/relationships/hyperlink" Id="rId90" Target="https://doi.org/10.1111/ele.13659" TargetMode="External" /><Relationship Type="http://schemas.openxmlformats.org/officeDocument/2006/relationships/hyperlink" Id="rId58" Target="https://doi.org/10.1111/gcb.12712" TargetMode="External" /><Relationship Type="http://schemas.openxmlformats.org/officeDocument/2006/relationships/hyperlink" Id="rId86" Target="https://doi.org/10.1111/gcb.14367" TargetMode="External" /><Relationship Type="http://schemas.openxmlformats.org/officeDocument/2006/relationships/hyperlink" Id="rId123" Target="https://doi.org/10.1111/gcb.14747" TargetMode="External" /><Relationship Type="http://schemas.openxmlformats.org/officeDocument/2006/relationships/hyperlink" Id="rId60" Target="https://doi.org/10.1111/gcb.15934" TargetMode="External" /><Relationship Type="http://schemas.openxmlformats.org/officeDocument/2006/relationships/hyperlink" Id="rId92" Target="https://doi.org/10.1111/gcb.16082" TargetMode="External" /><Relationship Type="http://schemas.openxmlformats.org/officeDocument/2006/relationships/hyperlink" Id="rId94" Target="https://doi.org/10.1111/j.1365-2435.2009.01614.x" TargetMode="External" /><Relationship Type="http://schemas.openxmlformats.org/officeDocument/2006/relationships/hyperlink" Id="rId77" Target="https://doi.org/10.1111/j.1365-2486.2009.02004.x" TargetMode="External" /><Relationship Type="http://schemas.openxmlformats.org/officeDocument/2006/relationships/hyperlink" Id="rId130" Target="https://doi.org/10.1111/jbi.14515" TargetMode="External" /><Relationship Type="http://schemas.openxmlformats.org/officeDocument/2006/relationships/hyperlink" Id="rId88" Target="https://doi.org/10.1111/jvs.12840" TargetMode="External" /><Relationship Type="http://schemas.openxmlformats.org/officeDocument/2006/relationships/hyperlink" Id="rId109" Target="https://doi.org/10.1111/nph.16996" TargetMode="External" /><Relationship Type="http://schemas.openxmlformats.org/officeDocument/2006/relationships/hyperlink" Id="rId98" Target="https://doi.org/10.1111/nph.17187" TargetMode="External" /><Relationship Type="http://schemas.openxmlformats.org/officeDocument/2006/relationships/hyperlink" Id="rId114" Target="https://doi.org/10.1111/nph.17266" TargetMode="External" /><Relationship Type="http://schemas.openxmlformats.org/officeDocument/2006/relationships/hyperlink" Id="rId73" Target="https://doi.org/10.1111/nph.17464" TargetMode="External" /><Relationship Type="http://schemas.openxmlformats.org/officeDocument/2006/relationships/hyperlink" Id="rId137" Target="https://doi.org/10.1111/nph.18539" TargetMode="External" /><Relationship Type="http://schemas.openxmlformats.org/officeDocument/2006/relationships/hyperlink" Id="rId84" Target="https://doi.org/10.1111/nph.19130" TargetMode="External" /><Relationship Type="http://schemas.openxmlformats.org/officeDocument/2006/relationships/hyperlink" Id="rId68" Target="https://doi.org/10.1146/annurev-earth-082517-010235" TargetMode="External" /><Relationship Type="http://schemas.openxmlformats.org/officeDocument/2006/relationships/hyperlink" Id="rId133" Target="https://doi.org/10.1175/2009JCLI2909.1" TargetMode="External" /><Relationship Type="http://schemas.openxmlformats.org/officeDocument/2006/relationships/hyperlink" Id="rId70" Target="https://doi.org/10.18637/jss.v080.i01" TargetMode="External" /><Relationship Type="http://schemas.openxmlformats.org/officeDocument/2006/relationships/hyperlink" Id="rId117" Target="https://doi.org/10.32614/CRAN.package.pvldcurve" TargetMode="External" /><Relationship Type="http://schemas.openxmlformats.org/officeDocument/2006/relationships/hyperlink" Id="rId119" Target="https://doi.org/10.5194/cp-12-1889-2016"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2025-05-05T13:14:58Z</dcterms:created>
  <dcterms:modified xsi:type="dcterms:W3CDTF">2025-05-05T13:14:58Z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