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5074</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created and helped execute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biological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r>
        <w:t xml:space="preserve">As an alternate approach, we applied backdoor criteria to the causal model and tested the effects of DBH, CII and TWI separately.</w:t>
      </w:r>
      <w:r>
        <w:t xml:space="preserve"> </w:t>
      </w:r>
      <w:r>
        <w:t xml:space="preserve">Details and results are reported in the Supplementary Material.</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In summary, the three climatically distinct droughts can be characterised thus: 2010 was a moderate, dry-season drought, 2015 a severe wet-season drought and 2020, a moderate drought during the dry-to-wet transition (Table 1).</w:t>
      </w:r>
    </w:p>
    <w:p>
      <w:pPr>
        <w:pStyle w:val="BodyText"/>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Species median sensitivities and individual tree sensitivities to the three droughts were not correlated with each other, supporting prediction</w:t>
      </w:r>
      <w:r>
        <w:t xml:space="preserve"> </w:t>
      </w:r>
      <w:r>
        <w:rPr>
          <w:iCs/>
          <w:i/>
        </w:rPr>
        <w:t xml:space="preserve">i</w:t>
      </w:r>
      <w:r>
        <w:t xml:space="preserve"> </w:t>
      </w:r>
      <w:r>
        <w:t xml:space="preserve">(Fig S5, Fig S6).</w:t>
      </w:r>
      <w:r>
        <w:t xml:space="preserve"> </w:t>
      </w: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r>
        <w:t xml:space="preserve"> </w:t>
      </w:r>
      <w:r>
        <w:t xml:space="preserve">Species had more negative sensitivities to the 2015 drought than the 2010 or 2020 droughts, in alignment with median sensitivities across all trees</w:t>
      </w:r>
      <w:r>
        <w:t xml:space="preserve"> </w:t>
      </w:r>
      <w:r>
        <w:t xml:space="preserve">(Fig S5). Median species sensitivities to the 2010 and 2020 droughts were variable, but no species had higher median increments than a typical year in 2015.</w:t>
      </w:r>
      <w:r>
        <w:t xml:space="preserve"> </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w:t>
      </w:r>
      <w:r>
        <w:t xml:space="preserve"> </w:t>
      </w:r>
      <w:r>
        <w:t xml:space="preserve">(Fig 3a).</w:t>
      </w:r>
      <w:r>
        <w:t xml:space="preserve"> </w:t>
      </w:r>
      <w:r>
        <w:t xml:space="preserve">There was no difference in 2010 (r = -0.05, p = 0.8).</w:t>
      </w:r>
      <w:r>
        <w:t xml:space="preserve"> </w:t>
      </w:r>
      <w:r>
        <w:t xml:space="preserve">Models of all trees with Topographic Wetness Index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effects"/>
    <w:p>
      <w:pPr>
        <w:pStyle w:val="Heading2"/>
      </w:pPr>
      <w:r>
        <w:t xml:space="preserve">Microenvironment</w:t>
      </w:r>
      <w:r>
        <w:t xml:space="preserve"> </w:t>
      </w:r>
      <w:r>
        <w:t xml:space="preserve">effects</w:t>
      </w:r>
    </w:p>
    <w:p>
      <w:pPr>
        <w:pStyle w:val="FirstParagraph"/>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Illumination index (CII) was associated with greater growth declines in 2010.</w:t>
      </w:r>
      <w:r>
        <w:t xml:space="preserve"> </w:t>
      </w:r>
      <w:r>
        <w:t xml:space="preserve">In the same models described above, the simplex parameter for the ordered factor CII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CII on sensitivity decreased monotonically, with a decrease to negative sensitivities in category 4 and 5 in 2010, but all CII categories in 2015 and 2020 has similar predictions, showing that exposure was not associated with altered sensitivity (Fig 5b).</w:t>
      </w:r>
    </w:p>
    <w:p>
      <w:pPr>
        <w:pStyle w:val="BodyText"/>
      </w:pPr>
      <w:r>
        <w:t xml:space="preserve">Trees with larger DBH had higher CII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seasonal timing, magnitude and duration of meteorological anomalies, and severity as classified with SPEI (Table 1, Fig. 1).</w:t>
      </w:r>
      <w:r>
        <w:t xml:space="preserve"> </w:t>
      </w:r>
      <w:r>
        <w:t xml:space="preserve"> </w:t>
      </w:r>
      <w:r>
        <w:t xml:space="preserve"> </w:t>
      </w:r>
      <w:r>
        <w:t xml:space="preserve">However, our finding that a severe wet-season drought in 2015 had greater impact on woody growth than dry-season drought in 2010 and dry-to-wet-season drought in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This aligns closely with recent global analyses using tree ring chronologies showing hetereogeneous responses of tree functional types to drought types</w:t>
      </w:r>
      <w:r>
        <w:t xml:space="preserve"> </w:t>
      </w:r>
      <w:r>
        <w:t xml:space="preserve">(Zuidema</w:t>
      </w:r>
      <w:r>
        <w:t xml:space="preserve"> </w:t>
      </w:r>
      <w:r>
        <w:rPr>
          <w:iCs/>
          <w:i/>
        </w:rPr>
        <w:t xml:space="preserve">et al.</w:t>
      </w:r>
      <w:r>
        <w:t xml:space="preserve"> </w:t>
      </w:r>
      <w:r>
        <w:t xml:space="preserve">2025)</w:t>
      </w:r>
      <w:r>
        <w:t xml:space="preserve">.</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Groenendijk</w:t>
      </w:r>
      <w:r>
        <w:t xml:space="preserve"> </w:t>
      </w:r>
      <w:r>
        <w:rPr>
          <w:iCs/>
          <w:i/>
        </w:rPr>
        <w:t xml:space="preserve">et al.</w:t>
      </w:r>
      <w:r>
        <w:t xml:space="preserve"> </w:t>
      </w:r>
      <w:r>
        <w:t xml:space="preserve">(2025)</w:t>
      </w:r>
      <w:r>
        <w:t xml:space="preserve">, we know exceedingly little about how tropical tree species with different above- and below-ground traits along the hydraulic safety-efficiency spectrum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 Table S1).</w:t>
      </w:r>
      <w:r>
        <w:t xml:space="preserve"> </w:t>
      </w:r>
      <w:r>
        <w:t xml:space="preserve">Extrapolating from these could lead to erroneous inferences on species with conservation or commercial significance, e.g. </w:t>
      </w:r>
      <w:r>
        <w:rPr>
          <w:iCs/>
          <w:i/>
        </w:rPr>
        <w:t xml:space="preserve">Dipterocarpus alatus</w:t>
      </w:r>
      <w:r>
        <w:t xml:space="preserve"> </w:t>
      </w:r>
      <w:r>
        <w:t xml:space="preserve">which presents a different drought response (Table S1).</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biological insurance effects</w:t>
      </w:r>
      <w:r>
        <w:t xml:space="preserve"> </w:t>
      </w:r>
      <w:r>
        <w:t xml:space="preserve">(Loreau</w:t>
      </w:r>
      <w:r>
        <w:t xml:space="preserve"> </w:t>
      </w:r>
      <w:r>
        <w:rPr>
          <w:iCs/>
          <w:i/>
        </w:rPr>
        <w:t xml:space="preserve">et al.</w:t>
      </w:r>
      <w:r>
        <w:t xml:space="preserve"> </w:t>
      </w:r>
      <w:r>
        <w:t xml:space="preserve">2021)</w:t>
      </w:r>
      <w:r>
        <w:t xml:space="preserve"> </w:t>
      </w:r>
      <w:r>
        <w:t xml:space="preserve">among tropical tree responses, in alignment with recent global analyses</w:t>
      </w:r>
      <w:r>
        <w:t xml:space="preserve"> </w:t>
      </w:r>
      <w:r>
        <w:t xml:space="preserve">(Liu</w:t>
      </w:r>
      <w:r>
        <w:t xml:space="preserve"> </w:t>
      </w:r>
      <w:r>
        <w:rPr>
          <w:iCs/>
          <w:i/>
        </w:rPr>
        <w:t xml:space="preserve">et al.</w:t>
      </w:r>
      <w:r>
        <w:t xml:space="preserve"> </w:t>
      </w:r>
      <w:r>
        <w:t xml:space="preserve">2022; Zuidema</w:t>
      </w:r>
      <w:r>
        <w:t xml:space="preserve"> </w:t>
      </w:r>
      <w:r>
        <w:rPr>
          <w:iCs/>
          <w:i/>
        </w:rPr>
        <w:t xml:space="preserve">et al.</w:t>
      </w:r>
      <w:r>
        <w:t xml:space="preserve"> </w:t>
      </w:r>
      <w:r>
        <w:t xml:space="preserve">2025)</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42" w:name="references"/>
    <w:p>
      <w:pPr>
        <w:pStyle w:val="Heading1"/>
      </w:pPr>
      <w:r>
        <w:t xml:space="preserve">References</w:t>
      </w:r>
    </w:p>
    <w:bookmarkStart w:id="141"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roenendijk_importance_2025"/>
    <w:p>
      <w:pPr>
        <w:pStyle w:val="Bibliography"/>
      </w:pPr>
      <w:r>
        <w:t xml:space="preserve">Groenendijk, P., Babst, F., Trouet, V., Fan, Z.-X., Granato-Souza, D., Locosselli, G.M.,</w:t>
      </w:r>
      <w:r>
        <w:t xml:space="preserve"> </w:t>
      </w:r>
      <w:r>
        <w:rPr>
          <w:iCs/>
          <w:i/>
        </w:rPr>
        <w:t xml:space="preserve">et al.</w:t>
      </w:r>
      <w:r>
        <w:t xml:space="preserve"> (2025).</w:t>
      </w:r>
      <w:r>
        <w:t xml:space="preserve"> </w:t>
      </w:r>
      <w:hyperlink r:id="rId78">
        <w:r>
          <w:rPr>
            <w:rStyle w:val="Hyperlink"/>
          </w:rPr>
          <w:t xml:space="preserve">The importance of tropical tree-ring chronologies for global change research</w:t>
        </w:r>
      </w:hyperlink>
      <w:r>
        <w:t xml:space="preserve">.</w:t>
      </w:r>
      <w:r>
        <w:t xml:space="preserve"> </w:t>
      </w:r>
      <w:r>
        <w:rPr>
          <w:iCs/>
          <w:i/>
        </w:rPr>
        <w:t xml:space="preserve">Quaternary Science Reviews</w:t>
      </w:r>
      <w:r>
        <w:t xml:space="preserve">, 355, 109233.</w:t>
      </w:r>
    </w:p>
    <w:bookmarkEnd w:id="79"/>
    <w:bookmarkStart w:id="81"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0">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1"/>
    <w:bookmarkStart w:id="83" w:name="ref-hulshof_variation_2010"/>
    <w:p>
      <w:pPr>
        <w:pStyle w:val="Bibliography"/>
      </w:pPr>
      <w:r>
        <w:t xml:space="preserve">Hulshof, C.M. &amp; Swenson, N.G. (2010).</w:t>
      </w:r>
      <w:r>
        <w:t xml:space="preserve"> </w:t>
      </w:r>
      <w:hyperlink r:id="rId82">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3"/>
    <w:bookmarkStart w:id="85" w:name="ref-ipcc_climate_2023"/>
    <w:p>
      <w:pPr>
        <w:pStyle w:val="Bibliography"/>
      </w:pPr>
      <w:r>
        <w:t xml:space="preserve">IPCC. (2023).</w:t>
      </w:r>
      <w:r>
        <w:t xml:space="preserve"> </w:t>
      </w:r>
      <w:hyperlink r:id="rId84">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5"/>
    <w:bookmarkStart w:id="87"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6">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7"/>
    <w:bookmarkStart w:id="8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8"/>
    <w:bookmarkStart w:id="90" w:name="ref-liu_drought_2022"/>
    <w:p>
      <w:pPr>
        <w:pStyle w:val="Bibliography"/>
      </w:pPr>
      <w:r>
        <w:t xml:space="preserve">Liu, D., Wang, T., Peñuelas, J. &amp; Piao, S. (2022).</w:t>
      </w:r>
      <w:r>
        <w:t xml:space="preserve"> </w:t>
      </w:r>
      <w:hyperlink r:id="rId8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0"/>
    <w:bookmarkStart w:id="92" w:name="ref-loreau_biodiversity_2021"/>
    <w:p>
      <w:pPr>
        <w:pStyle w:val="Bibliography"/>
      </w:pPr>
      <w:r>
        <w:t xml:space="preserve">Loreau, M., Barbier, M., Filotas, E., Gravel, D., Isbell, F., Miller, S.J.,</w:t>
      </w:r>
      <w:r>
        <w:t xml:space="preserve"> </w:t>
      </w:r>
      <w:r>
        <w:rPr>
          <w:iCs/>
          <w:i/>
        </w:rPr>
        <w:t xml:space="preserve">et al.</w:t>
      </w:r>
      <w:r>
        <w:t xml:space="preserve"> (2021).</w:t>
      </w:r>
      <w:r>
        <w:t xml:space="preserve"> </w:t>
      </w:r>
      <w:hyperlink r:id="rId91">
        <w:r>
          <w:rPr>
            <w:rStyle w:val="Hyperlink"/>
          </w:rPr>
          <w:t xml:space="preserve">Biodiversity as insurance: From concept to measurement and application</w:t>
        </w:r>
      </w:hyperlink>
      <w:r>
        <w:t xml:space="preserve">.</w:t>
      </w:r>
      <w:r>
        <w:t xml:space="preserve"> </w:t>
      </w:r>
      <w:r>
        <w:rPr>
          <w:iCs/>
          <w:i/>
        </w:rPr>
        <w:t xml:space="preserve">Biological Reviews</w:t>
      </w:r>
      <w:r>
        <w:t xml:space="preserve">, 96, 2333–2354.</w:t>
      </w:r>
    </w:p>
    <w:bookmarkEnd w:id="92"/>
    <w:bookmarkStart w:id="94" w:name="ref-luo_tropical_2022"/>
    <w:p>
      <w:pPr>
        <w:pStyle w:val="Bibliography"/>
      </w:pPr>
      <w:r>
        <w:t xml:space="preserve">Luo, X. &amp; Keenan, T.F. (2022).</w:t>
      </w:r>
      <w:r>
        <w:t xml:space="preserve"> </w:t>
      </w:r>
      <w:hyperlink r:id="rId93">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4"/>
    <w:bookmarkStart w:id="96" w:name="ref-ma_tree_2023"/>
    <w:p>
      <w:pPr>
        <w:pStyle w:val="Bibliography"/>
      </w:pPr>
      <w:r>
        <w:t xml:space="preserve">Ma, Q., Su, Y., Niu, C., Ma, Q., Hu, T., Luo, X.,</w:t>
      </w:r>
      <w:r>
        <w:t xml:space="preserve"> </w:t>
      </w:r>
      <w:r>
        <w:rPr>
          <w:iCs/>
          <w:i/>
        </w:rPr>
        <w:t xml:space="preserve">et al.</w:t>
      </w:r>
      <w:r>
        <w:t xml:space="preserve"> (2023).</w:t>
      </w:r>
      <w:r>
        <w:t xml:space="preserve"> </w:t>
      </w:r>
      <w:hyperlink r:id="rId9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6"/>
    <w:bookmarkStart w:id="98" w:name="ref-mcdowell_darcys_2015"/>
    <w:p>
      <w:pPr>
        <w:pStyle w:val="Bibliography"/>
      </w:pPr>
      <w:r>
        <w:t xml:space="preserve">McDowell, N.G. &amp; Allen, C.D. (2015).</w:t>
      </w:r>
      <w:r>
        <w:t xml:space="preserve"> </w:t>
      </w:r>
      <w:hyperlink r:id="rId97">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8"/>
    <w:bookmarkStart w:id="10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0"/>
    <w:bookmarkStart w:id="101" w:name="ref-muller-landau_metal_2008"/>
    <w:p>
      <w:pPr>
        <w:pStyle w:val="Bibliography"/>
      </w:pPr>
      <w:r>
        <w:t xml:space="preserve">Muller-Landau, H.C. (2008). Metal</w:t>
      </w:r>
      <w:r>
        <w:t xml:space="preserve"> </w:t>
      </w:r>
      <w:r>
        <w:t xml:space="preserve">Band Dendrometer Protocol</w:t>
      </w:r>
      <w:r>
        <w:t xml:space="preserve">.</w:t>
      </w:r>
    </w:p>
    <w:bookmarkEnd w:id="101"/>
    <w:bookmarkStart w:id="103"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02">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3"/>
    <w:bookmarkStart w:id="105"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4">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5"/>
    <w:bookmarkStart w:id="107" w:name="ref-oliveira_linking_2021"/>
    <w:p>
      <w:pPr>
        <w:pStyle w:val="Bibliography"/>
      </w:pPr>
      <w:r>
        <w:t xml:space="preserve">Oliveira, R.S., Eller, C.B., Barros, F. de V., Hirota, M., Brum, M. &amp; Bittencourt, P. (2021).</w:t>
      </w:r>
      <w:r>
        <w:t xml:space="preserve"> </w:t>
      </w:r>
      <w:hyperlink r:id="rId106">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7"/>
    <w:bookmarkStart w:id="108"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8"/>
    <w:bookmarkStart w:id="110" w:name="ref-raesch_pvldcurve_2020"/>
    <w:p>
      <w:pPr>
        <w:pStyle w:val="Bibliography"/>
      </w:pPr>
      <w:r>
        <w:t xml:space="preserve">Raesch, A. (2020).</w:t>
      </w:r>
      <w:r>
        <w:t xml:space="preserve"> </w:t>
      </w:r>
      <w:hyperlink r:id="rId109">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0"/>
    <w:bookmarkStart w:id="112" w:name="ref-räsänen_spatial_2016"/>
    <w:p>
      <w:pPr>
        <w:pStyle w:val="Bibliography"/>
      </w:pPr>
      <w:r>
        <w:t xml:space="preserve">Räsänen, T.A., Lindgren, V., Guillaume, J.H.A., Buckley, B.M. &amp; Kummu, M. (2016).</w:t>
      </w:r>
      <w:r>
        <w:t xml:space="preserve"> </w:t>
      </w:r>
      <w:hyperlink r:id="rId111">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stahl_depth_2013"/>
    <w:p>
      <w:pPr>
        <w:pStyle w:val="Bibliography"/>
      </w:pPr>
      <w:r>
        <w:t xml:space="preserve">Stahl, C., Hérault, B., Rossi, V., Burban, B., Bréchet, C. &amp; Bonal, D. (2013).</w:t>
      </w:r>
      <w:r>
        <w:t xml:space="preserve"> </w:t>
      </w:r>
      <w:hyperlink r:id="rId118">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8" w:name="ref-zuidema_pantropical_2025"/>
    <w:p>
      <w:pPr>
        <w:pStyle w:val="Bibliography"/>
      </w:pPr>
      <w:r>
        <w:t xml:space="preserve">Zuidema, P.A., Groenendijk, P., Rahman, M., Trouet, V., Abiyu, A., Acuña-Soto, R.,</w:t>
      </w:r>
      <w:r>
        <w:t xml:space="preserve"> </w:t>
      </w:r>
      <w:r>
        <w:rPr>
          <w:iCs/>
          <w:i/>
        </w:rPr>
        <w:t xml:space="preserve">et al.</w:t>
      </w:r>
      <w:r>
        <w:t xml:space="preserve"> (2025). Pantropical tree rings show small effects of drought on stem growth.</w:t>
      </w:r>
    </w:p>
    <w:bookmarkEnd w:id="138"/>
    <w:bookmarkStart w:id="140" w:name="ref-zuleta_droughtinduced_2017"/>
    <w:p>
      <w:pPr>
        <w:pStyle w:val="Bibliography"/>
      </w:pPr>
      <w:r>
        <w:t xml:space="preserve">Zuleta, D., Duque, A., Cardenas, D., Muller-Landau, H.C. &amp; Davies, S.J. (2017).</w:t>
      </w:r>
      <w:r>
        <w:t xml:space="preserve"> </w:t>
      </w:r>
      <w:hyperlink r:id="rId139">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0"/>
    <w:bookmarkEnd w:id="141"/>
    <w:p>
      <w:r>
        <w:br w:type="page"/>
      </w:r>
    </w:p>
    <w:bookmarkEnd w:id="142"/>
    <w:bookmarkStart w:id="144" w:name="tables"/>
    <w:p>
      <w:pPr>
        <w:pStyle w:val="Heading1"/>
      </w:pPr>
      <w:r>
        <w:t xml:space="preserve">Tables</w:t>
      </w:r>
    </w:p>
    <w:p>
      <w:pPr>
        <w:pStyle w:val="TableCaption"/>
      </w:pPr>
      <w:bookmarkStart w:id="143" w:name="tab:table"/>
      <w:bookmarkEnd w:id="143"/>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4"/>
    <w:bookmarkStart w:id="145"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p>
    <w:bookmarkEnd w:id="145"/>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8"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4"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80" Target="https://doi.org/10.1111/gcb.16082" TargetMode="External" /><Relationship Type="http://schemas.openxmlformats.org/officeDocument/2006/relationships/hyperlink" Id="rId82"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6"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5"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8"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4"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80" Target="https://doi.org/10.1111/gcb.16082" TargetMode="External" /><Relationship Type="http://schemas.openxmlformats.org/officeDocument/2006/relationships/hyperlink" Id="rId82"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6"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5"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2025-09-17T18:13:43Z</dcterms:created>
  <dcterms:modified xsi:type="dcterms:W3CDTF">2025-09-17T18:13:43Z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