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144</w:t>
      </w:r>
      <w:r>
        <w:br/>
      </w:r>
      <w:r>
        <w:rPr>
          <w:bCs/>
          <w:b/>
        </w:rPr>
        <w:t xml:space="preserve">Number of Words in Main Text:</w:t>
      </w:r>
      <w:r>
        <w:t xml:space="preserve"> </w:t>
      </w:r>
      <w:r>
        <w:t xml:space="preserve">5019</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w:t>
      </w:r>
      <w:r>
        <w:t xml:space="preserve"> </w:t>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Increased frequency and severity of droughts threatens forest health worldwide, with important implications for this critical carbon sink.</w:t>
      </w:r>
      <w:r>
        <w:t xml:space="preserve"> </w:t>
      </w:r>
      <w:r>
        <w:t xml:space="preserve">Tree species adaptations to hot and dry conditions–e.g., dry-season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 Thailand to assess tree growth responses to three climatically distinct droughts.</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 and wetter microclimates amplified this difference.</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drought tolerance is influenced independently by drought characteristics, species traits, and microenvironment,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wet-seasons for growth, are particularly sensitive to wet-season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have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5" w:name="references"/>
    <w:p>
      <w:pPr>
        <w:pStyle w:val="Heading1"/>
      </w:pPr>
      <w:r>
        <w:t xml:space="preserve">References</w:t>
      </w:r>
    </w:p>
    <w:bookmarkStart w:id="134"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6">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7"/>
    <w:bookmarkStart w:id="79" w:name="ref-hulshof_variation_2010"/>
    <w:p>
      <w:pPr>
        <w:pStyle w:val="Bibliography"/>
      </w:pPr>
      <w:r>
        <w:t xml:space="preserve">Hulshof, C.M. &amp; Swenson, N.G. (2010).</w:t>
      </w:r>
      <w:r>
        <w:t xml:space="preserve"> </w:t>
      </w:r>
      <w:hyperlink r:id="rId78">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79"/>
    <w:bookmarkStart w:id="81" w:name="ref-ipcc_climate_2023"/>
    <w:p>
      <w:pPr>
        <w:pStyle w:val="Bibliography"/>
      </w:pPr>
      <w:r>
        <w:t xml:space="preserve">IPCC. (2023).</w:t>
      </w:r>
      <w:r>
        <w:t xml:space="preserve"> </w:t>
      </w:r>
      <w:hyperlink r:id="rId8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1"/>
    <w:bookmarkStart w:id="8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3"/>
    <w:bookmarkStart w:id="8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4"/>
    <w:bookmarkStart w:id="86" w:name="ref-liu_drought_2022"/>
    <w:p>
      <w:pPr>
        <w:pStyle w:val="Bibliography"/>
      </w:pPr>
      <w:r>
        <w:t xml:space="preserve">Liu, D., Wang, T., Peñuelas, J. &amp; Piao, S. (2022).</w:t>
      </w:r>
      <w:r>
        <w:t xml:space="preserve"> </w:t>
      </w:r>
      <w:hyperlink r:id="rId8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6"/>
    <w:bookmarkStart w:id="88" w:name="ref-luo_tropical_2022"/>
    <w:p>
      <w:pPr>
        <w:pStyle w:val="Bibliography"/>
      </w:pPr>
      <w:r>
        <w:t xml:space="preserve">Luo, X. &amp; Keenan, T.F. (2022).</w:t>
      </w:r>
      <w:r>
        <w:t xml:space="preserve"> </w:t>
      </w:r>
      <w:hyperlink r:id="rId8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88"/>
    <w:bookmarkStart w:id="90" w:name="ref-ma_tree_2023"/>
    <w:p>
      <w:pPr>
        <w:pStyle w:val="Bibliography"/>
      </w:pPr>
      <w:r>
        <w:t xml:space="preserve">Ma, Q., Su, Y., Niu, C., Ma, Q., Hu, T., Luo, X.,</w:t>
      </w:r>
      <w:r>
        <w:t xml:space="preserve"> </w:t>
      </w:r>
      <w:r>
        <w:rPr>
          <w:iCs/>
          <w:i/>
        </w:rPr>
        <w:t xml:space="preserve">et al.</w:t>
      </w:r>
      <w:r>
        <w:t xml:space="preserve"> (2023).</w:t>
      </w:r>
      <w:r>
        <w:t xml:space="preserve"> </w:t>
      </w:r>
      <w:hyperlink r:id="rId89">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0"/>
    <w:bookmarkStart w:id="92" w:name="ref-mcdowell_darcys_2015"/>
    <w:p>
      <w:pPr>
        <w:pStyle w:val="Bibliography"/>
      </w:pPr>
      <w:r>
        <w:t xml:space="preserve">McDowell, N.G. &amp; Allen, C.D. (2015).</w:t>
      </w:r>
      <w:r>
        <w:t xml:space="preserve"> </w:t>
      </w:r>
      <w:hyperlink r:id="rId91">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2"/>
    <w:bookmarkStart w:id="94"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3">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4"/>
    <w:bookmarkStart w:id="95" w:name="ref-muller-landau_metal_2008"/>
    <w:p>
      <w:pPr>
        <w:pStyle w:val="Bibliography"/>
      </w:pPr>
      <w:r>
        <w:t xml:space="preserve">Muller-Landau, H.C. (2008). Metal</w:t>
      </w:r>
      <w:r>
        <w:t xml:space="preserve"> </w:t>
      </w:r>
      <w:r>
        <w:t xml:space="preserve">Band Dendrometer Protocol</w:t>
      </w:r>
      <w:r>
        <w:t xml:space="preserve">.</w:t>
      </w:r>
    </w:p>
    <w:bookmarkEnd w:id="95"/>
    <w:bookmarkStart w:id="97"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6">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7"/>
    <w:bookmarkStart w:id="99"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98">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99"/>
    <w:bookmarkStart w:id="101" w:name="ref-oliveira_linking_2021"/>
    <w:p>
      <w:pPr>
        <w:pStyle w:val="Bibliography"/>
      </w:pPr>
      <w:r>
        <w:t xml:space="preserve">Oliveira, R.S., Eller, C.B., Barros, F. de V., Hirota, M., Brum, M. &amp; Bittencourt, P. (2021).</w:t>
      </w:r>
      <w:r>
        <w:t xml:space="preserve"> </w:t>
      </w:r>
      <w:hyperlink r:id="rId100">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1"/>
    <w:bookmarkStart w:id="10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2"/>
    <w:bookmarkStart w:id="104" w:name="ref-raesch_pvldcurve_2020"/>
    <w:p>
      <w:pPr>
        <w:pStyle w:val="Bibliography"/>
      </w:pPr>
      <w:r>
        <w:t xml:space="preserve">Raesch, A. (2020).</w:t>
      </w:r>
      <w:r>
        <w:t xml:space="preserve"> </w:t>
      </w:r>
      <w:hyperlink r:id="rId103">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4"/>
    <w:bookmarkStart w:id="106" w:name="ref-räsänen_spatial_2016"/>
    <w:p>
      <w:pPr>
        <w:pStyle w:val="Bibliography"/>
      </w:pPr>
      <w:r>
        <w:t xml:space="preserve">Räsänen, T.A., Lindgren, V., Guillaume, J.H.A., Buckley, B.M. &amp; Kummu, M. (2016).</w:t>
      </w:r>
      <w:r>
        <w:t xml:space="preserve"> </w:t>
      </w:r>
      <w:hyperlink r:id="rId105">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6"/>
    <w:bookmarkStart w:id="108" w:name="ref-scharnweber_confessions_2019"/>
    <w:p>
      <w:pPr>
        <w:pStyle w:val="Bibliography"/>
      </w:pPr>
      <w:r>
        <w:t xml:space="preserve">Scharnweber, T., Heinze, L., Cruz-García, R., van der Maaten-Theunissen, M. &amp; Wilmking, M. (2019).</w:t>
      </w:r>
      <w:r>
        <w:t xml:space="preserve"> </w:t>
      </w:r>
      <w:hyperlink r:id="rId107">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08"/>
    <w:bookmarkStart w:id="110"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9">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0"/>
    <w:bookmarkStart w:id="111"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1"/>
    <w:bookmarkStart w:id="113" w:name="ref-stahl_depth_2013"/>
    <w:p>
      <w:pPr>
        <w:pStyle w:val="Bibliography"/>
      </w:pPr>
      <w:r>
        <w:t xml:space="preserve">Stahl, C., Hérault, B., Rossi, V., Burban, B., Bréchet, C. &amp; Bonal, D. (2013).</w:t>
      </w:r>
      <w:r>
        <w:t xml:space="preserve"> </w:t>
      </w:r>
      <w:hyperlink r:id="rId112">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3"/>
    <w:bookmarkStart w:id="115" w:name="ref-trugman_why_2021"/>
    <w:p>
      <w:pPr>
        <w:pStyle w:val="Bibliography"/>
      </w:pPr>
      <w:r>
        <w:t xml:space="preserve">Trugman, A.T., Anderegg, L.D.L., Anderegg, W.R.L., Das, A.J. &amp; Stephenson, N.L. (2021).</w:t>
      </w:r>
      <w:r>
        <w:t xml:space="preserve"> </w:t>
      </w:r>
      <w:hyperlink r:id="rId114">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5"/>
    <w:bookmarkStart w:id="117" w:name="ref-vasey_intraspecific_2022"/>
    <w:p>
      <w:pPr>
        <w:pStyle w:val="Bibliography"/>
      </w:pPr>
      <w:r>
        <w:t xml:space="preserve">Vasey, G.L., Weisberg, P.J. &amp; Urza, A.K. (2022).</w:t>
      </w:r>
      <w:r>
        <w:t xml:space="preserve"> </w:t>
      </w:r>
      <w:hyperlink r:id="rId116">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7"/>
    <w:bookmarkStart w:id="118"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8"/>
    <w:bookmarkStart w:id="120" w:name="ref-vicente-serrano_multiscalar_2010"/>
    <w:p>
      <w:pPr>
        <w:pStyle w:val="Bibliography"/>
      </w:pPr>
      <w:r>
        <w:t xml:space="preserve">Vicente-Serrano, S.M., Beguería, S. &amp; López-Moreno, J.I. (2010).</w:t>
      </w:r>
      <w:r>
        <w:t xml:space="preserve"> </w:t>
      </w:r>
      <w:hyperlink r:id="rId119">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0"/>
    <w:bookmarkStart w:id="122" w:name="ref-vico_how_2017a"/>
    <w:p>
      <w:pPr>
        <w:pStyle w:val="Bibliography"/>
      </w:pPr>
      <w:r>
        <w:t xml:space="preserve">Vico, G., Dralle, D., Feng, X., Thompson, S. &amp; Manzoni, S. (2017).</w:t>
      </w:r>
      <w:r>
        <w:t xml:space="preserve"> </w:t>
      </w:r>
      <w:hyperlink r:id="rId121">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2"/>
    <w:bookmarkStart w:id="124"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3">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4"/>
    <w:bookmarkStart w:id="126" w:name="ref-vlam_temperature_2014"/>
    <w:p>
      <w:pPr>
        <w:pStyle w:val="Bibliography"/>
      </w:pPr>
      <w:r>
        <w:t xml:space="preserve">Vlam, M., Baker, P.J., Bunyavejchewin, S. &amp; Zuidema, P.A. (2014).</w:t>
      </w:r>
      <w:r>
        <w:t xml:space="preserve"> </w:t>
      </w:r>
      <w:hyperlink r:id="rId125">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6"/>
    <w:bookmarkStart w:id="128" w:name="ref-williams_deciduousness_2008"/>
    <w:p>
      <w:pPr>
        <w:pStyle w:val="Bibliography"/>
      </w:pPr>
      <w:r>
        <w:t xml:space="preserve">Williams, L.J., Bunyavejchewin, S. &amp; Baker, P.J. (2008).</w:t>
      </w:r>
      <w:r>
        <w:t xml:space="preserve"> </w:t>
      </w:r>
      <w:hyperlink r:id="rId12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8"/>
    <w:bookmarkStart w:id="129"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9"/>
    <w:bookmarkStart w:id="131"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0">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1"/>
    <w:bookmarkStart w:id="133" w:name="ref-zuleta_droughtinduced_2017"/>
    <w:p>
      <w:pPr>
        <w:pStyle w:val="Bibliography"/>
      </w:pPr>
      <w:r>
        <w:t xml:space="preserve">Zuleta, D., Duque, A., Cardenas, D., Muller-Landau, H.C. &amp; Davies, S.J. (2017).</w:t>
      </w:r>
      <w:r>
        <w:t xml:space="preserve"> </w:t>
      </w:r>
      <w:hyperlink r:id="rId132">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3"/>
    <w:bookmarkEnd w:id="134"/>
    <w:p>
      <w:r>
        <w:br w:type="page"/>
      </w:r>
    </w:p>
    <w:bookmarkEnd w:id="135"/>
    <w:bookmarkStart w:id="136" w:name="table-caption"/>
    <w:p>
      <w:pPr>
        <w:pStyle w:val="Heading1"/>
      </w:pPr>
      <w:r>
        <w:t xml:space="preserve">Table Caption</w:t>
      </w:r>
    </w:p>
    <w:p>
      <w:pPr>
        <w:pStyle w:val="FirstParagraph"/>
      </w:pPr>
      <w:r>
        <w:rPr>
          <w:bCs/>
          <w:b/>
        </w:rPr>
        <w:t xml:space="preserve">Table 1. Summary table of hypotheses tested, effects of variables on drought sensitivity and corresponding evidence.</w:t>
      </w:r>
      <w:r>
        <w:t xml:space="preserve"> </w:t>
      </w:r>
      <w:r>
        <w:t xml:space="preserve">For each variable x year combination,</w:t>
      </w:r>
      <w:r>
        <w:t xml:space="preserve"> </w:t>
      </w:r>
      <w:r>
        <w:t xml:space="preserve">“</w:t>
      </w:r>
      <w:r>
        <w:t xml:space="preserve">+</w:t>
      </w:r>
      <w:r>
        <w:t xml:space="preserve">”</w:t>
      </w:r>
      <w:r>
        <w:t xml:space="preserve"> </w:t>
      </w:r>
      <w:r>
        <w:t xml:space="preserve">indicates a positive effect,</w:t>
      </w:r>
      <w:r>
        <w:t xml:space="preserve"> </w:t>
      </w:r>
      <w:r>
        <w:t xml:space="preserve">“</w:t>
      </w:r>
      <w:r>
        <w:t xml:space="preserve">-</w:t>
      </w:r>
      <w:r>
        <w:t xml:space="preserve">”</w:t>
      </w:r>
      <w:r>
        <w:t xml:space="preserve"> </w:t>
      </w:r>
      <w:r>
        <w:t xml:space="preserve">indicates a negative effect and</w:t>
      </w:r>
      <w:r>
        <w:t xml:space="preserve"> </w:t>
      </w:r>
      <w:r>
        <w:t xml:space="preserve">“</w:t>
      </w:r>
      <w:r>
        <w:t xml:space="preserve">n.s.</w:t>
      </w:r>
      <w:r>
        <w:t xml:space="preserve">”</w:t>
      </w:r>
      <w:r>
        <w:t xml:space="preserve"> </w:t>
      </w:r>
      <w:r>
        <w:t xml:space="preserve">indicates that the effect was not statistically significant.</w:t>
      </w:r>
    </w:p>
    <w:p>
      <w:r>
        <w:br w:type="page"/>
      </w:r>
    </w:p>
    <w:bookmarkEnd w:id="136"/>
    <w:bookmarkStart w:id="137" w:name="figure-legends"/>
    <w:p>
      <w:pPr>
        <w:pStyle w:val="Heading1"/>
      </w:pPr>
      <w:r>
        <w:t xml:space="preserve">Figure Legends</w:t>
      </w:r>
    </w:p>
    <w:p>
      <w:pPr>
        <w:pStyle w:val="FirstParagraph"/>
      </w:pPr>
      <w:r>
        <w:rPr>
          <w:iCs/>
          <w:i/>
          <w:bCs/>
          <w:b/>
        </w:rPr>
        <w:t xml:space="preserve">Figure 1. Climatic characteristics of the focal drought years (black in 2010, purple in 2015, orange in 2020)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37"/>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98"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12" Target="https://doi.org/10.1007/s00442-013-2724-6" TargetMode="External" /><Relationship Type="http://schemas.openxmlformats.org/officeDocument/2006/relationships/hyperlink" Id="rId125"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7" Target="https://doi.org/10.1016/j.dendro.2019.04.001" TargetMode="External" /><Relationship Type="http://schemas.openxmlformats.org/officeDocument/2006/relationships/hyperlink" Id="rId114" Target="https://doi.org/10.1016/j.tree.2021.02.001" TargetMode="External" /><Relationship Type="http://schemas.openxmlformats.org/officeDocument/2006/relationships/hyperlink" Id="rId80"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1"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7" Target="https://doi.org/10.1038/s41467-022-28824-5" TargetMode="External" /><Relationship Type="http://schemas.openxmlformats.org/officeDocument/2006/relationships/hyperlink" Id="rId89"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85"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1"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09"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6" Target="https://doi.org/10.1111/gcb.16082" TargetMode="External" /><Relationship Type="http://schemas.openxmlformats.org/officeDocument/2006/relationships/hyperlink" Id="rId78"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3" Target="https://doi.org/10.1111/nph.16996" TargetMode="External" /><Relationship Type="http://schemas.openxmlformats.org/officeDocument/2006/relationships/hyperlink" Id="rId82" Target="https://doi.org/10.1111/nph.17187" TargetMode="External" /><Relationship Type="http://schemas.openxmlformats.org/officeDocument/2006/relationships/hyperlink" Id="rId100"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49"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3" Target="https://doi.org/10.32614/CRAN.package.pvldcurve" TargetMode="External" /><Relationship Type="http://schemas.openxmlformats.org/officeDocument/2006/relationships/hyperlink" Id="rId105" Target="https://doi.org/10.5194/cp-12-1889-2016" TargetMode="External" /><Relationship Type="http://schemas.openxmlformats.org/officeDocument/2006/relationships/hyperlink" Id="rId96"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12" Target="https://doi.org/10.1007/s00442-013-2724-6" TargetMode="External" /><Relationship Type="http://schemas.openxmlformats.org/officeDocument/2006/relationships/hyperlink" Id="rId125"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7" Target="https://doi.org/10.1016/j.dendro.2019.04.001" TargetMode="External" /><Relationship Type="http://schemas.openxmlformats.org/officeDocument/2006/relationships/hyperlink" Id="rId114" Target="https://doi.org/10.1016/j.tree.2021.02.001" TargetMode="External" /><Relationship Type="http://schemas.openxmlformats.org/officeDocument/2006/relationships/hyperlink" Id="rId80"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1"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7" Target="https://doi.org/10.1038/s41467-022-28824-5" TargetMode="External" /><Relationship Type="http://schemas.openxmlformats.org/officeDocument/2006/relationships/hyperlink" Id="rId89"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85"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1"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09"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6" Target="https://doi.org/10.1111/gcb.16082" TargetMode="External" /><Relationship Type="http://schemas.openxmlformats.org/officeDocument/2006/relationships/hyperlink" Id="rId78"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3" Target="https://doi.org/10.1111/nph.16996" TargetMode="External" /><Relationship Type="http://schemas.openxmlformats.org/officeDocument/2006/relationships/hyperlink" Id="rId82" Target="https://doi.org/10.1111/nph.17187" TargetMode="External" /><Relationship Type="http://schemas.openxmlformats.org/officeDocument/2006/relationships/hyperlink" Id="rId100"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49"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3" Target="https://doi.org/10.32614/CRAN.package.pvldcurve" TargetMode="External" /><Relationship Type="http://schemas.openxmlformats.org/officeDocument/2006/relationships/hyperlink" Id="rId105" Target="https://doi.org/10.5194/cp-12-1889-2016" TargetMode="External" /><Relationship Type="http://schemas.openxmlformats.org/officeDocument/2006/relationships/hyperlink" Id="rId96"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2025-06-25T16:44:46Z</dcterms:created>
  <dcterms:modified xsi:type="dcterms:W3CDTF">2025-06-25T16:44:46Z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