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146</w:t>
      </w:r>
      <w:r>
        <w:br/>
      </w:r>
      <w:r>
        <w:rPr>
          <w:bCs/>
          <w:b/>
        </w:rPr>
        <w:t xml:space="preserve">Number of Words in Main Text:</w:t>
      </w:r>
      <w:r>
        <w:t xml:space="preserve"> </w:t>
      </w:r>
      <w:r>
        <w:t xml:space="preserve">5054</w:t>
      </w:r>
      <w:r>
        <w:br/>
      </w:r>
      <w:r>
        <w:rPr>
          <w:bCs/>
          <w:b/>
        </w:rPr>
        <w:t xml:space="preserve">Number of References:</w:t>
      </w:r>
      <w:r>
        <w:t xml:space="preserve"> </w:t>
      </w:r>
      <w:r>
        <w:t xml:space="preserve">58</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 +1 (202) 633-1836</w:t>
      </w:r>
      <w:r>
        <w:br/>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HCM led the development of the dendrometer band protocol.</w:t>
      </w:r>
      <w:r>
        <w:t xml:space="preserve"> </w:t>
      </w:r>
      <w:r>
        <w:t xml:space="preserve">KA cleaned the data and conducted formal analysis with support from SMM, SJD, HCM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4"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is archived in Zenodo with</w:t>
      </w:r>
      <w:r>
        <w:t xml:space="preserve"> </w:t>
      </w:r>
      <w:hyperlink r:id="rId23">
        <w:r>
          <w:rPr>
            <w:rStyle w:val="Hyperlink"/>
          </w:rPr>
          <w:t xml:space="preserve">doi:10.5281/zenodo.15777974</w:t>
        </w:r>
      </w:hyperlink>
      <w:r>
        <w:t xml:space="preserve">.</w:t>
      </w:r>
    </w:p>
    <w:bookmarkEnd w:id="24"/>
    <w:bookmarkStart w:id="25" w:name="conflict-of-interest"/>
    <w:p>
      <w:pPr>
        <w:pStyle w:val="Heading1"/>
      </w:pPr>
      <w:r>
        <w:t xml:space="preserve">Conflict of Interest</w:t>
      </w:r>
    </w:p>
    <w:p>
      <w:pPr>
        <w:pStyle w:val="FirstParagraph"/>
      </w:pPr>
      <w:r>
        <w:t xml:space="preserve">The authors declare no conflict of interest.</w:t>
      </w:r>
    </w:p>
    <w:p>
      <w:r>
        <w:br w:type="page"/>
      </w:r>
    </w:p>
    <w:bookmarkEnd w:id="25"/>
    <w:bookmarkStart w:id="26" w:name="abstract"/>
    <w:p>
      <w:pPr>
        <w:pStyle w:val="Heading1"/>
      </w:pPr>
      <w:r>
        <w:t xml:space="preserve">Abstract</w:t>
      </w:r>
    </w:p>
    <w:p>
      <w:pPr>
        <w:pStyle w:val="FirstParagraph"/>
      </w:pPr>
      <w:r>
        <w:t xml:space="preserve">Increased frequency and severity of droughts threatens forest health worldwide</w:t>
      </w:r>
      <w:r>
        <w:t xml:space="preserve">.</w:t>
      </w:r>
      <w:r>
        <w:t xml:space="preserve"> </w:t>
      </w:r>
      <w:r>
        <w:t xml:space="preserve">Tree species-specific adaptations</w:t>
      </w:r>
      <w:r>
        <w:t xml:space="preserve"> </w:t>
      </w:r>
      <w:r>
        <w:t xml:space="preserve">– e.g., dry-season deciduousness in tropical seasonal forests – and individual traits – e.g., size, crown position – shape drought resistance, but such resistance may be variable across species, microenvironments, and drought events.</w:t>
      </w:r>
      <w:r>
        <w:t xml:space="preserve"> </w:t>
      </w:r>
      <w:r>
        <w:t xml:space="preserve">Here, we assess growth responses of 1820 trees across 30 species to three climatically distinct droughts in a seasonally dry tropical forest in Western Thailand.</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w:t>
      </w:r>
      <w:r>
        <w:t xml:space="preserve">.</w:t>
      </w:r>
      <w:r>
        <w:t xml:space="preserve"> </w:t>
      </w:r>
      <w:r>
        <w:t xml:space="preserve">While individuals with more exposed crowns tended to grow less in all droughts, stem diameter and topographic wetness had variable effects.</w:t>
      </w:r>
      <w:r>
        <w:t xml:space="preserve"> </w:t>
      </w:r>
      <w:r>
        <w:t xml:space="preserve"> </w:t>
      </w:r>
      <w:r>
        <w:t xml:space="preserve">Heterogeneous drought responses of species and individuals indicate potential biological insurance effects in diverse forests in the face of increased drought.</w:t>
      </w:r>
    </w:p>
    <w:p>
      <w:r>
        <w:br w:type="page"/>
      </w:r>
    </w:p>
    <w:bookmarkEnd w:id="26"/>
    <w:bookmarkStart w:id="27" w:name="introduction"/>
    <w:p>
      <w:pPr>
        <w:pStyle w:val="Heading1"/>
      </w:pPr>
      <w:r>
        <w:t xml:space="preserve">Introduction</w:t>
      </w:r>
    </w:p>
    <w:p>
      <w:pPr>
        <w:pStyle w:val="FirstParagraph"/>
      </w:pPr>
      <w:r>
        <w:t xml:space="preserve">Intense droughts are becoming more frequent globally</w:t>
      </w:r>
      <w:r>
        <w:t xml:space="preserve"> </w:t>
      </w:r>
      <w:r>
        <w:t xml:space="preserve">(IPCC 2023)</w:t>
      </w:r>
      <w:r>
        <w:t xml:space="preserve">, affecting the demography, diversity, and carbon (C) cycling of forests.</w:t>
      </w:r>
      <w:r>
        <w:t xml:space="preserve"> </w:t>
      </w:r>
      <w:r>
        <w:t xml:space="preserve">However, drought impacts on tree woody growth and ecosystem C sequestration remain difficult to predict</w:t>
      </w:r>
      <w:r>
        <w:t xml:space="preserve"> </w:t>
      </w:r>
      <w:r>
        <w:t xml:space="preserve">(Evans</w:t>
      </w:r>
      <w:r>
        <w:t xml:space="preserve"> </w:t>
      </w:r>
      <w:r>
        <w:rPr>
          <w:iCs/>
          <w:i/>
        </w:rPr>
        <w:t xml:space="preserve">et al.</w:t>
      </w:r>
      <w:r>
        <w:t xml:space="preserve"> </w:t>
      </w:r>
      <w:r>
        <w:t xml:space="preserve">2025)</w:t>
      </w:r>
      <w:r>
        <w:t xml:space="preserve">, particularly for tropical forests,</w:t>
      </w:r>
      <w:r>
        <w:t xml:space="preserve"> </w:t>
      </w:r>
      <w:r>
        <w:t xml:space="preserve"> </w:t>
      </w:r>
      <w:r>
        <w:t xml:space="preserve">for which long-term records of annual woody tree growth are limited</w:t>
      </w:r>
      <w:r>
        <w:t xml:space="preserve"> </w:t>
      </w:r>
      <w:r>
        <w:t xml:space="preserve">(Groenendijk</w:t>
      </w:r>
      <w:r>
        <w:t xml:space="preserve"> </w:t>
      </w:r>
      <w:r>
        <w:rPr>
          <w:iCs/>
          <w:i/>
        </w:rPr>
        <w:t xml:space="preserve">et al.</w:t>
      </w:r>
      <w:r>
        <w:t xml:space="preserve"> </w:t>
      </w:r>
      <w:r>
        <w:t xml:space="preserve">2025; 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tree size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If these factors act independently, tree drought responses may be conserved, and linearly predictable; i.e., species with low sensitivity to past droughts would have low sensitivity in any microhabitat and any drought.</w:t>
      </w:r>
      <w:r>
        <w:t xml:space="preserve"> </w:t>
      </w:r>
      <w:r>
        <w:t xml:space="preserve">Alternatively, if these factors interact, then species and individuals that exhibit resistance to one drought may prove vulnerable to a drought with different characteristics.</w:t>
      </w:r>
      <w:r>
        <w:t xml:space="preserve"> </w:t>
      </w:r>
      <w:r>
        <w:t xml:space="preserve">These complex and diverse drought responses may buffer ecosystem function even as intense droughts become more common and may act as a mechanism for maintaining species diversity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can be characterized based on the timing, severity, or duration of climatic anomalies in a variety of meteorological variables</w:t>
      </w:r>
      <w:r>
        <w:t xml:space="preserve">(Slette</w:t>
      </w:r>
      <w:r>
        <w:t xml:space="preserve"> </w:t>
      </w:r>
      <w:r>
        <w:rPr>
          <w:iCs/>
          <w:i/>
        </w:rPr>
        <w:t xml:space="preserve">et al.</w:t>
      </w:r>
      <w:r>
        <w:t xml:space="preserve"> </w:t>
      </w:r>
      <w:r>
        <w:t xml:space="preserve">2019)</w:t>
      </w:r>
      <w:r>
        <w:t xml:space="preserve">.</w:t>
      </w:r>
      <w:r>
        <w:t xml:space="preserve"> </w:t>
      </w:r>
      <w:r>
        <w:t xml:space="preserve"> </w:t>
      </w:r>
      <w:r>
        <w:t xml:space="preserve"> </w:t>
      </w:r>
      <w:r>
        <w:t xml:space="preserve">This difficulty in definition, and subsequent predictions of tree growth responses, is pronounced in seasonal forests with diverse adaptive strategies that have evolved under consistent low-rainfall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strong dry seasons, tree drought responses may depend less on the climatic extent of the drought and more on drought timing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For example, interannual variation in tropical tree growth</w:t>
      </w:r>
      <w:r>
        <w:t xml:space="preserve"> </w:t>
      </w:r>
      <w:r>
        <w:t xml:space="preserve">has been shown to be most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w:t>
      </w:r>
      <w:r>
        <w:t xml:space="preserve"> </w:t>
      </w:r>
      <w:r>
        <w:t xml:space="preserve">However, these analyses represent a limited set of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Species adaptations to drought vary widely, often leading to classification of tree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or</w:t>
      </w:r>
      <w:r>
        <w:t xml:space="preserve"> </w:t>
      </w:r>
      <w:r>
        <w:t xml:space="preserve">“</w:t>
      </w:r>
      <w:r>
        <w:t xml:space="preserve">drought avoidant</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 </w:t>
      </w:r>
      <w:r>
        <w:t xml:space="preserve">In tropical seasonal forests, many tree species vary in their hydraulic strategies along a continuum from drought tolerant species having high hydraulic safety, low hydraulic efficiency and high tissue investment to drought</w:t>
      </w:r>
      <w:r>
        <w:t xml:space="preserve"> </w:t>
      </w:r>
      <w:r>
        <w:t xml:space="preserve">“</w:t>
      </w:r>
      <w:r>
        <w:t xml:space="preserve">avoidant</w:t>
      </w:r>
      <w:r>
        <w:t xml:space="preserve">”</w:t>
      </w:r>
      <w:r>
        <w:t xml:space="preserve"> </w:t>
      </w:r>
      <w:r>
        <w:t xml:space="preserve">species with high hydraulic efficiency, low hydraulic safety and low investment to tissues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Traits associated with hydraulic safety and drought tolerance include deep roots (to access deeper water in the dry season), more negative leaf water potential at turgor loss point (</w:t>
      </w:r>
      <m:oMath>
        <m:sSub>
          <m:e>
            <m:r>
              <m:t>π</m:t>
            </m:r>
          </m:e>
          <m:sub>
            <m:r>
              <m:t>t</m:t>
            </m:r>
            <m:r>
              <m:t>l</m:t>
            </m:r>
            <m:r>
              <m:t>p</m:t>
            </m:r>
          </m:sub>
        </m:sSub>
      </m:oMath>
      <w:r>
        <w:t xml:space="preserve">, to maintain gas exchange and photosynthesis under hot and dry conditions), and small vessels (to reduce embolism risk)</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Under drought conditions, these strategies may confer more or less drought resistance depending on the specific trait combinations and drought characteristics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These strategies can also have developmental or ecophysiological controls.</w:t>
      </w:r>
      <w:r>
        <w:t xml:space="preserve"> </w:t>
      </w:r>
      <w:r>
        <w:t xml:space="preserve">For example, some species regulate</w:t>
      </w:r>
      <w:r>
        <w:t xml:space="preserve"> </w:t>
      </w:r>
      <m:oMath>
        <m:sSub>
          <m:e>
            <m:r>
              <m:t>π</m:t>
            </m:r>
          </m:e>
          <m:sub>
            <m:r>
              <m:t>t</m:t>
            </m:r>
            <m:r>
              <m:t>l</m:t>
            </m:r>
            <m:r>
              <m:t>p</m:t>
            </m:r>
          </m:sub>
        </m:sSub>
      </m:oMath>
      <w:r>
        <w:t xml:space="preserve">,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shape individual tree experience of, and response to, drought.</w:t>
      </w:r>
      <w:r>
        <w:t xml:space="preserve"> </w:t>
      </w:r>
      <w:r>
        <w:t xml:space="preserve">Although habitats with relatively moist soils (e.g., low-lying topography) are more hospitable during drought, trees in these microenvironments may be less drought-adapted</w:t>
      </w:r>
      <w:r>
        <w:t xml:space="preserve"> </w:t>
      </w:r>
      <w:r>
        <w:t xml:space="preserve">(e.g., due to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 </w:t>
      </w:r>
      <w:r>
        <w:t xml:space="preserve">and thus more vulnerable under severe droughts.</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Tree size can mediate microenvironments by influencing both crown exposure through tree height and belowground water access through rooting depth/size.</w:t>
      </w:r>
      <w:r>
        <w:t xml:space="preserve"> </w:t>
      </w:r>
      <w:r>
        <w:t xml:space="preserve">For large trees, aboveground gradients in crown exposure could be partially offset by the tendency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as with wet-adapted trees,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Although larger trees tend to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this may be driven by crown exposure, by height</w:t>
      </w:r>
      <w:r>
        <w:t xml:space="preserve"> </w:t>
      </w:r>
      <w:r>
        <w:t xml:space="preserve">and its pressures on stem water flow</w:t>
      </w:r>
      <w:r>
        <w:t xml:space="preserve">(Fernández-de-Uña</w:t>
      </w:r>
      <w:r>
        <w:t xml:space="preserve"> </w:t>
      </w:r>
      <w:r>
        <w:rPr>
          <w:iCs/>
          <w:i/>
        </w:rPr>
        <w:t xml:space="preserve">et al.</w:t>
      </w:r>
      <w:r>
        <w:t xml:space="preserve"> </w:t>
      </w:r>
      <w:r>
        <w:t xml:space="preserve">2023; McDowell &amp; Allen 2015)</w:t>
      </w:r>
      <w:r>
        <w:t xml:space="preserve">, or by systematic variation in leaf traits differences along the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and tree size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w:t>
      </w:r>
      <w:r>
        <w:t xml:space="preserve"> </w:t>
      </w:r>
      <w:r>
        <w:t xml:space="preserve">We test predictions that:</w:t>
      </w:r>
      <w:r>
        <w:t xml:space="preserve"> </w:t>
      </w:r>
      <w:r>
        <w:t xml:space="preserve">i) both species and individuals respond differently to different droughts;</w:t>
      </w:r>
      <w:r>
        <w:t xml:space="preserve"> </w:t>
      </w:r>
      <w:r>
        <w:t xml:space="preserve">ii) on the species level, deciduous and evergreen species exhibit differential sensitivity depending on the timing of drought and topographic location;</w:t>
      </w:r>
      <w:r>
        <w:t xml:space="preserve"> </w:t>
      </w:r>
      <w:r>
        <w:t xml:space="preserve">iii) on the individual level, the influences of topographic location, crown exposure, and other size effects on drought responses are variable across droughts.</w:t>
      </w:r>
      <w:r>
        <w:t xml:space="preserve"> </w:t>
      </w:r>
      <w:r>
        <w:t xml:space="preserve">We tested these hypotheses using a 14-year record of dendrometer band measurements in a dry seasonal evergreen forest in Thailand</w:t>
      </w:r>
      <w:r>
        <w:t xml:space="preserve">(Bunyavejchewin</w:t>
      </w:r>
      <w:r>
        <w:t xml:space="preserve"> </w:t>
      </w:r>
      <w:r>
        <w:rPr>
          <w:iCs/>
          <w:i/>
        </w:rPr>
        <w:t xml:space="preserve">et al.</w:t>
      </w:r>
      <w:r>
        <w:t xml:space="preserve"> </w:t>
      </w:r>
      <w:r>
        <w:t xml:space="preserve">2011)</w:t>
      </w:r>
      <w:r>
        <w:t xml:space="preserve">.</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 and to enable casual interpretation of estimated parameters.</w:t>
      </w:r>
      <w:r>
        <w:t xml:space="preserve"> </w:t>
      </w:r>
      <w:r>
        <w:t xml:space="preserve">This analysis demonstrates the complexity of drought responses in species-rich seasonal dry tropical forests.</w:t>
      </w:r>
    </w:p>
    <w:bookmarkEnd w:id="27"/>
    <w:bookmarkStart w:id="28"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 N, 99.22°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Most selected trees were part of a size-stratified and spatially-stratified random sample, with additional trees chosen to fill out sample sizes for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(centred around January), we calculated annualised growth for each tree and year from 2009 to 2022.</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for each tree</w:t>
      </w:r>
      <w:r>
        <w:t xml:space="preserve"> </w:t>
      </w:r>
      <m:oMath>
        <m:d>
          <m:dPr>
            <m:begChr m:val="("/>
            <m:endChr m:val=")"/>
            <m:sepChr m:val=""/>
            <m:grow/>
          </m:dPr>
          <m:e>
            <m:sSub>
              <m:e>
                <m:r>
                  <m:t>d</m:t>
                </m:r>
              </m:e>
              <m:sub>
                <m:r>
                  <m:t>i</m:t>
                </m:r>
                <m:r>
                  <m:rPr>
                    <m:sty m:val="p"/>
                  </m:rPr>
                  <m:t>,</m:t>
                </m:r>
                <m:r>
                  <m:t>t</m:t>
                </m:r>
              </m:sub>
            </m:sSub>
          </m:e>
        </m:d>
      </m:oMath>
      <w:r>
        <w:t xml:space="preserve"> </w:t>
      </w:r>
      <w:r>
        <w:t xml:space="preserve">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Δ</m:t>
        </m:r>
        <m:r>
          <m:t>d</m:t>
        </m:r>
        <m:r>
          <m:t>a</m:t>
        </m:r>
        <m:r>
          <m:t>y</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Δ</m:t>
            </m:r>
            <m:r>
              <m:t>d</m:t>
            </m:r>
            <m:r>
              <m:t>a</m:t>
            </m:r>
            <m:r>
              <m:t>y</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We used concurrent tape measurements to flag likely errors in the dendrometer dataset</w:t>
      </w:r>
      <w:r>
        <w:t xml:space="preserve"> </w:t>
      </w:r>
      <w:r>
        <w:t xml:space="preserve">(Diameter tape measurements alone are not precise enough for calculating drought sensitivity, as their measurement precision is ~2 mm compared with median annual growth in HKK of ~1.4 mm).</w:t>
      </w:r>
      <w:r>
        <w:t xml:space="preserve"> </w:t>
      </w:r>
      <w:r>
        <w:t xml:space="preserve"> </w:t>
      </w:r>
      <w:r>
        <w:t xml:space="preserve"> </w:t>
      </w:r>
      <w:r>
        <w:t xml:space="preserve">We also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30-day rolling means of precipitation, number of dry days (precipitation = 0), VPD and maximum temperature across the whole timeseries.</w:t>
      </w:r>
      <w:r>
        <w:t xml:space="preserve"> </w:t>
      </w:r>
      <w:r>
        <w:t xml:space="preserve">Finally, for each day in the drought years, we calculated anomalies of these rolling means from their long-term averages for the same day of year</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bar>
                <m:barPr>
                  <m:pos m:val="top"/>
                </m:barPr>
                <m:e>
                  <m:r>
                    <m:t>r</m:t>
                  </m:r>
                  <m:r>
                    <m:t>o</m:t>
                  </m:r>
                  <m:r>
                    <m:t>l</m:t>
                  </m:r>
                  <m:r>
                    <m:t>l</m:t>
                  </m:r>
                  <m:r>
                    <m:t>i</m:t>
                  </m:r>
                  <m:r>
                    <m:t>n</m:t>
                  </m:r>
                  <m:r>
                    <m:t>g</m:t>
                  </m:r>
                  <m:r>
                    <m:rPr>
                      <m:sty m:val="p"/>
                    </m:rPr>
                    <m:t>.</m:t>
                  </m:r>
                  <m:r>
                    <m:t>m</m:t>
                  </m:r>
                  <m:r>
                    <m:t>e</m:t>
                  </m:r>
                  <m:r>
                    <m:t>a</m:t>
                  </m:r>
                  <m:sSub>
                    <m:e>
                      <m:r>
                        <m:t>n</m:t>
                      </m:r>
                    </m:e>
                    <m:sub>
                      <m:r>
                        <m:t>d</m:t>
                      </m:r>
                      <m:r>
                        <m:t>a</m:t>
                      </m:r>
                      <m:r>
                        <m:t>y</m:t>
                      </m:r>
                    </m:sub>
                  </m:sSub>
                </m:e>
              </m:bar>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In 2010, 30-day-mean meteorological anomalies between February and May included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w:t>
      </w:r>
      <w:r>
        <w:t xml:space="preserve">.</w:t>
      </w:r>
      <w:r>
        <w:t xml:space="preserve"> </w:t>
      </w:r>
      <w:r>
        <w:t xml:space="preserve"> </w:t>
      </w:r>
      <w:r>
        <w:t xml:space="preserve">1- to 6-month SPEI values reached minima between -1.5 and -2, indicative of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fell below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approached -2 in February, indicative of borderline severe drought.</w:t>
      </w:r>
      <w:r>
        <w:t xml:space="preserve"> </w:t>
      </w:r>
      <w:r>
        <w:t xml:space="preserve">12-month SPEI showed severe drought conditions from January to April, and moderate drought from May to September, spanning both dry and wet seasons.</w:t>
      </w:r>
    </w:p>
    <w:p>
      <w:pPr>
        <w:pStyle w:val="BodyText"/>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bar>
          <m:barPr>
            <m:pos m:val="top"/>
          </m:barPr>
          <m:e>
            <m:r>
              <m:t>a</m:t>
            </m:r>
            <m:r>
              <m:rPr>
                <m:sty m:val="p"/>
              </m:rPr>
              <m:t>.</m:t>
            </m:r>
            <m:r>
              <m:t>i</m:t>
            </m:r>
            <m:r>
              <m:t>n</m:t>
            </m:r>
            <m:sSub>
              <m:e>
                <m:r>
                  <m:t>c</m:t>
                </m:r>
              </m:e>
              <m:sub>
                <m:r>
                  <m:t>i</m:t>
                </m:r>
              </m:sub>
            </m:sSub>
          </m:e>
        </m:bar>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growth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bar>
                <m:barPr>
                  <m:pos m:val="top"/>
                </m:barPr>
                <m:e>
                  <m:r>
                    <m:t>a</m:t>
                  </m:r>
                  <m:r>
                    <m:rPr>
                      <m:sty m:val="p"/>
                    </m:rPr>
                    <m:t>.</m:t>
                  </m:r>
                  <m:r>
                    <m:t>i</m:t>
                  </m:r>
                  <m:r>
                    <m:t>n</m:t>
                  </m:r>
                  <m:sSub>
                    <m:e>
                      <m:r>
                        <m:t>c</m:t>
                      </m:r>
                    </m:e>
                    <m:sub>
                      <m:r>
                        <m:t>i</m:t>
                      </m:r>
                    </m:sub>
                  </m:sSub>
                </m:e>
              </m:bar>
            </m:num>
            <m:den>
              <m:bar>
                <m:barPr>
                  <m:pos m:val="top"/>
                </m:barPr>
                <m:e>
                  <m:r>
                    <m:t>a</m:t>
                  </m:r>
                  <m:r>
                    <m:rPr>
                      <m:sty m:val="p"/>
                    </m:rPr>
                    <m:t>.</m:t>
                  </m:r>
                  <m:r>
                    <m:t>i</m:t>
                  </m:r>
                  <m:r>
                    <m:t>n</m:t>
                  </m:r>
                  <m:sSub>
                    <m:e>
                      <m:r>
                        <m:t>c</m:t>
                      </m:r>
                    </m:e>
                    <m:sub>
                      <m:r>
                        <m:t>i</m:t>
                      </m:r>
                    </m:sub>
                  </m:sSub>
                </m:e>
              </m:bar>
            </m:den>
          </m:f>
        </m:oMath>
      </m:oMathPara>
    </w:p>
    <w:p>
      <w:pPr>
        <w:pStyle w:val="FirstParagraph"/>
      </w:pPr>
      <w:r>
        <w:t xml:space="preserve">By scaling the increment deviation to the mean annual growth of each tree, this metric allows us to compare across slow and fast-growing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and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This geolocated layer allows fine resolution and precise tree mapping with topography, but the omission of upslope area beyond the plot means values are underestimates and variably so for different locations.</w:t>
      </w:r>
      <w:r>
        <w:t xml:space="preserve"> </w:t>
      </w:r>
      <w:r>
        <w:t xml:space="preserve">For an alternate estimate of wetness independent of total upslope area (Topographic Position Index) and associated results, see supplementary material.</w:t>
      </w:r>
      <w:r>
        <w:t xml:space="preserve"> </w:t>
      </w:r>
      <w:r>
        <w:t xml:space="preserve">We defined tree size as the diameter at breast height (calculated from dendrometer bands)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at the previous census,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we assigned it a deciduousness score of 1.</w:t>
      </w:r>
      <w:r>
        <w:t xml:space="preserve"> </w:t>
      </w:r>
      <w:r>
        <w:t xml:space="preserve"> </w:t>
      </w:r>
      <w:r>
        <w:t xml:space="preserve"> </w:t>
      </w:r>
    </w:p>
    <w:p>
      <w:pPr>
        <w:pStyle w:val="BodyText"/>
      </w:pPr>
      <w:r>
        <w:rPr>
          <w:iCs/>
          <w:i/>
          <w:bCs/>
          <w:b/>
        </w:rPr>
        <w:t xml:space="preserve">Statistical methods</w:t>
      </w:r>
    </w:p>
    <w:p>
      <w:pPr>
        <w:pStyle w:val="BodyText"/>
      </w:pPr>
      <w:r>
        <w:t xml:space="preserve">We analysed tree drought responses by fitting separate models for each drought.</w:t>
      </w:r>
      <w:r>
        <w:t xml:space="preserve"> </w:t>
      </w:r>
      <w:r>
        <w:t xml:space="preserve">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while accounting for confounding effects.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 monotonic predictor (ordered factor) and centred and scaled the other predictors.</w:t>
      </w:r>
      <w:r>
        <w:t xml:space="preserve"> </w:t>
      </w:r>
      <w:r>
        <w:t xml:space="preserve">We modelled CII response as an ordinal categorical variable with a cumulative logit link function.</w:t>
      </w:r>
      <w:r>
        <w:t xml:space="preserve"> </w:t>
      </w:r>
      <w:r>
        <w:t xml:space="preserve">In the combined form, the model therefore used a multivariate distribution of Gaussian and logit.</w:t>
      </w:r>
      <w:r>
        <w:t xml:space="preserve"> </w:t>
      </w:r>
      <w:r>
        <w:t xml:space="preserve">As an alternate approach, we applied backdoor criteria to the causal model and tested the effects of DBH, CII and TWI separately.</w:t>
      </w:r>
      <w:r>
        <w:t xml:space="preserve"> </w:t>
      </w:r>
      <w:r>
        <w:t xml:space="preserve">Details and results are reported in the Supplementary Material.</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from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8"/>
    <w:bookmarkStart w:id="32" w:name="results"/>
    <w:p>
      <w:pPr>
        <w:pStyle w:val="Heading1"/>
      </w:pPr>
      <w:r>
        <w:t xml:space="preserve">Results</w:t>
      </w:r>
    </w:p>
    <w:bookmarkStart w:id="29" w:name="tree-growth-responses-to-drought"/>
    <w:p>
      <w:pPr>
        <w:pStyle w:val="Heading2"/>
      </w:pPr>
      <w:r>
        <w:t xml:space="preserve">Tree growth responses to drought</w:t>
      </w:r>
    </w:p>
    <w:p>
      <w:pPr>
        <w:pStyle w:val="FirstParagraph"/>
      </w:pPr>
      <w:r>
        <w:t xml:space="preserve">The three climatically distinct droughts can be characterised as follows: 2010 was a moderate, dry-season drought, 2015 a severe wet-season drought and 2020, a moderate drought during the dry-to-wet transition (Figs 1, S2, S3).</w:t>
      </w:r>
    </w:p>
    <w:p>
      <w:pPr>
        <w:pStyle w:val="BodyText"/>
      </w:pPr>
      <w:r>
        <w:t xml:space="preserve">Drought years were associated with lower plot-level growth and negative tree-level sensitivities, with the strongest negative response in 2015 (Fig 2).</w:t>
      </w:r>
      <w:r>
        <w:t xml:space="preserve"> </w:t>
      </w:r>
      <w:r>
        <w:t xml:space="preserve">Median growth rate across all trees and years was 1.73 mm (range -14.2, 29.32).</w:t>
      </w:r>
      <w:r>
        <w:t xml:space="preserve"> </w:t>
      </w:r>
      <w:r>
        <w:t xml:space="preserve">The drought year 2015 had the lowest median increment 0.82 mm, 53% lower than the median across all years.</w:t>
      </w:r>
      <w:r>
        <w:t xml:space="preserve"> </w:t>
      </w:r>
      <w:r>
        <w:t xml:space="preserve">In the 2010 and 2020 droughts, the median increments were 1.5 mm and 1.28 mm respectively, 13% and 26% lower than the median across all years.</w:t>
      </w:r>
      <w:r>
        <w:t xml:space="preserve"> </w:t>
      </w:r>
      <w:r>
        <w:t xml:space="preserve"> </w:t>
      </w:r>
      <w:r>
        <w:t xml:space="preserve"> </w:t>
      </w:r>
      <w:r>
        <w:t xml:space="preserve">Median drought sensitivity across all trees in 2010, 2015 and 2020 were -0.27</w:t>
      </w:r>
      <w:r>
        <w:t xml:space="preserve">, -0.55</w:t>
      </w:r>
      <w:r>
        <w:t xml:space="preserve"> </w:t>
      </w:r>
      <w:r>
        <w:t xml:space="preserve">and -0.3</w:t>
      </w:r>
      <w:r>
        <w:t xml:space="preserve"> </w:t>
      </w:r>
      <w:r>
        <w:t xml:space="preserve">respectively.</w:t>
      </w:r>
      <w:r>
        <w:t xml:space="preserve"> </w:t>
      </w:r>
    </w:p>
    <w:bookmarkEnd w:id="29"/>
    <w:bookmarkStart w:id="30" w:name="Xc74a0baff171b1d9b6ddf8a89882785f488fbc6"/>
    <w:p>
      <w:pPr>
        <w:pStyle w:val="Heading2"/>
      </w:pPr>
      <w:r>
        <w:t xml:space="preserve">Species and functional group drought responses</w:t>
      </w:r>
    </w:p>
    <w:p>
      <w:pPr>
        <w:pStyle w:val="FirstParagraph"/>
      </w:pPr>
      <w:r>
        <w:t xml:space="preserve">Species median sensitivities and individual tree sensitivities to the three droughts were not correlated with each other, supporting prediction (</w:t>
      </w:r>
      <w:r>
        <w:rPr>
          <w:iCs/>
          <w:i/>
        </w:rPr>
        <w:t xml:space="preserve">i</w:t>
      </w:r>
      <w:r>
        <w:t xml:space="preserve">) (Fig S6, Fig S7).</w:t>
      </w:r>
      <w:r>
        <w:t xml:space="preserve"> </w:t>
      </w:r>
      <w:r>
        <w:t xml:space="preserve">Median annual increment across years varied among the 30 species analysed, with</w:t>
      </w:r>
      <w:r>
        <w:t xml:space="preserve"> </w:t>
      </w:r>
      <w:r>
        <w:rPr>
          <w:iCs/>
          <w:i/>
        </w:rPr>
        <w:t xml:space="preserve">Gluta obovata</w:t>
      </w:r>
      <w:r>
        <w:t xml:space="preserve"> </w:t>
      </w:r>
      <w:r>
        <w:t xml:space="preserve">the lowest (0.61</w:t>
      </w:r>
      <w:r>
        <w:t xml:space="preserve"> </w:t>
      </w:r>
      <w:r>
        <w:t xml:space="preserve">mm) and</w:t>
      </w:r>
      <w:r>
        <w:t xml:space="preserve"> </w:t>
      </w:r>
      <w:r>
        <w:rPr>
          <w:iCs/>
          <w:i/>
        </w:rPr>
        <w:t xml:space="preserve">Dipterocarpus alatus</w:t>
      </w:r>
      <w:r>
        <w:t xml:space="preserve"> </w:t>
      </w:r>
      <w:r>
        <w:t xml:space="preserve">the highest (3.58</w:t>
      </w:r>
      <w:r>
        <w:t xml:space="preserve"> </w:t>
      </w:r>
      <w:r>
        <w:t xml:space="preserve">mm).</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r>
        <w:t xml:space="preserve"> </w:t>
      </w:r>
      <w:r>
        <w:t xml:space="preserve">Species had more negative sensitivities to the 2015 drought than the 2010 or 2020 droughts, in alignment with median sensitivities across all trees</w:t>
      </w:r>
      <w:r>
        <w:t xml:space="preserve"> </w:t>
      </w:r>
      <w:r>
        <w:t xml:space="preserve">(Fig S6). Median species sensitivities to the 2010 and 2020 droughts were variable, but no species had higher median increments than a typical year in 2015.</w:t>
      </w:r>
      <w:r>
        <w:t xml:space="preserve"> </w:t>
      </w:r>
    </w:p>
    <w:p>
      <w:pPr>
        <w:pStyle w:val="BodyText"/>
      </w:pPr>
      <w:r>
        <w:t xml:space="preserve">Deciduous and evergreen species showed heterogenous responses to different droughts, supporting prediction (</w:t>
      </w:r>
      <w:r>
        <w:rPr>
          <w:iCs/>
          <w:i/>
        </w:rPr>
        <w:t xml:space="preserve">ii</w:t>
      </w:r>
      <w:r>
        <w:t xml:space="preserve">).</w:t>
      </w:r>
      <w:r>
        <w:t xml:space="preserve"> </w:t>
      </w:r>
      <w:r>
        <w:t xml:space="preserve">Deciduous species were more drought sensitive than evergreen species in 2015</w:t>
      </w:r>
      <w:r>
        <w:t xml:space="preserve"> </w:t>
      </w:r>
      <w:r>
        <w:t xml:space="preserve">, less sensitive in 2020</w:t>
      </w:r>
      <w:r>
        <w:t xml:space="preserve"> </w:t>
      </w:r>
      <w:r>
        <w:t xml:space="preserve">, whereas there was no difference in 2010(Fig 3a).</w:t>
      </w:r>
      <w:r>
        <w:t xml:space="preserve"> </w:t>
      </w:r>
      <w:r>
        <w:t xml:space="preserve"> </w:t>
      </w:r>
      <w:r>
        <w:t xml:space="preserve">Models of all trees with Topographic Wetness Index (TWI) and deciduousness as predictors showed that the conditional effect of deciduousness on sensitivity (controlling for topographic wetness) was significantly negative in 2015 (-0.08; 90% CI -0.12,-0.04), significantly positive in 2020 (0.19; 90% CI 0.15,0.23), and non-existent in 2010 (-0.02, 90% CI -0.05, 0.02).</w:t>
      </w:r>
    </w:p>
    <w:bookmarkEnd w:id="30"/>
    <w:bookmarkStart w:id="31" w:name="microenvironment-effects"/>
    <w:p>
      <w:pPr>
        <w:pStyle w:val="Heading2"/>
      </w:pPr>
      <w:r>
        <w:t xml:space="preserve">Microenvironment</w:t>
      </w:r>
      <w:r>
        <w:t xml:space="preserve"> </w:t>
      </w:r>
      <w:r>
        <w:t xml:space="preserve">effects</w:t>
      </w:r>
    </w:p>
    <w:p>
      <w:pPr>
        <w:pStyle w:val="FirstParagraph"/>
      </w:pPr>
      <w:r>
        <w:t xml:space="preserve">TWI had different effects across droughts, supporting prediction (</w:t>
      </w:r>
      <w:r>
        <w:rPr>
          <w:iCs/>
          <w:i/>
        </w:rPr>
        <w:t xml:space="preserve">iii</w:t>
      </w:r>
      <w:r>
        <w:t xml:space="preserve">).</w:t>
      </w:r>
      <w:r>
        <w:t xml:space="preserve"> </w:t>
      </w:r>
      <w:r>
        <w:t xml:space="preserve">Across all trees, the model with wetness and deciduousness showed that TWI had a positive effect on drought sensitivity in 2015 (median effect =0.05, 90% CI 0.01, 0.08) and 2020 (median effect =0.07, 90% CI 0.02, 0.11), meaning that wetter areas showed less negative or more positive responses to drought, but no effect in 2010 (median effect =0, 90% CI -0.04, 0.03).</w:t>
      </w:r>
      <w:r>
        <w:t xml:space="preserve"> </w:t>
      </w:r>
      <w:r>
        <w:t xml:space="preserve">The interaction between wetness and deciduousness was significantly negative in 2015 (median effect =-0.02, 90% CI -0.03, 0) but was not significant in 2010 (median effect =0, 90% CI -0.01, 0.02) or 2020, (median effect =-0.01, 90% CI -0.03, 0.01), meaning that</w:t>
      </w:r>
      <w:r>
        <w:t xml:space="preserve"> </w:t>
      </w:r>
      <w:r>
        <w:t xml:space="preserve"> </w:t>
      </w:r>
      <w:r>
        <w:t xml:space="preserve">the divergent sensitivities of deciduous and evergreen trees in 2015 and 2020 were more pronounced in wetter and drier sites respectively (Fig 3b).</w:t>
      </w:r>
      <w:r>
        <w:t xml:space="preserve"> </w:t>
      </w:r>
    </w:p>
    <w:p>
      <w:pPr>
        <w:pStyle w:val="BodyText"/>
      </w:pPr>
      <w:r>
        <w:t xml:space="preserve">Broadly, the effects of wetness and size were different across droughts while exposure tended to decrease growth with varying strengths across droughts (Fig 4a).</w:t>
      </w:r>
      <w:r>
        <w:t xml:space="preserve"> </w:t>
      </w:r>
      <w:r>
        <w:t xml:space="preserve">Accounting for DBH and exposure, wetness had a small negative effect in 2010 (median effect =-0.04, 90% CI -0.09, 0.02), but a positive effect in 2015 (median effect =0.05, 90% CI 0, 0.11) and 2020 (median effect =0.06, 90% CI 0.01, 0.12).</w:t>
      </w:r>
      <w:r>
        <w:t xml:space="preserve"> </w:t>
      </w:r>
      <w:r>
        <w:t xml:space="preserve"> </w:t>
      </w:r>
      <w:r>
        <w:t xml:space="preserve"> </w:t>
      </w:r>
    </w:p>
    <w:p>
      <w:pPr>
        <w:pStyle w:val="BodyText"/>
      </w:pPr>
      <w:r>
        <w:t xml:space="preserve">Drought sensitivities of individuals with different crown exposures varied across droughts (Fig 5), supporting prediction (</w:t>
      </w:r>
      <w:r>
        <w:rPr>
          <w:iCs/>
          <w:i/>
        </w:rPr>
        <w:t xml:space="preserve">iii</w:t>
      </w:r>
      <w:r>
        <w:t xml:space="preserve">).</w:t>
      </w:r>
      <w:r>
        <w:t xml:space="preserve"> </w:t>
      </w:r>
      <w:r>
        <w:t xml:space="preserve">Crown Illumination index (CII) was associated with greater growth declines in 2010.</w:t>
      </w:r>
      <w:r>
        <w:t xml:space="preserve"> </w:t>
      </w:r>
      <w:r>
        <w:t xml:space="preserve">In the same models described above, the simplex parameter for the ordered factor CII in 2010 was significant and negative (median effect = -0.15, 90% CI -0.33, -0.07), while in 2015 and 2020 the negative effect was not as strong (2015 median effect = -0.06, 90% CI -0.17, 0.03; 2020 median effect = -0.02, 90% CI -0.1, 0.06).</w:t>
      </w:r>
      <w:r>
        <w:t xml:space="preserve"> </w:t>
      </w:r>
      <w:r>
        <w:t xml:space="preserve">Predicted effects of CII on sensitivity decreased monotonically, with strong decreases in 2010, weak decrease in 2015, and no effect in 2020 (Fig 5b).</w:t>
      </w:r>
    </w:p>
    <w:p>
      <w:pPr>
        <w:pStyle w:val="BodyText"/>
      </w:pPr>
      <w:r>
        <w:t xml:space="preserve">Trees with larger DBH had higher CII across all years; median effect and 90% CI for 2010, 2015 and 2020 respectively were 4.01 (3.74, 4.3), 4.19 (3.92, 4.48) and 3.75(3.5,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1"/>
    <w:bookmarkEnd w:id="32"/>
    <w:bookmarkStart w:id="33"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tree size and microenvironment (Table 1).</w:t>
      </w:r>
      <w:r>
        <w:t xml:space="preserve"> </w:t>
      </w:r>
      <w:r>
        <w:t xml:space="preserve">Analysing three droughts in a 14-year dendrometer band time series, we found lower-than-average growth during drought years, resulting in lower plot-level growth (Fig 2).</w:t>
      </w:r>
      <w:r>
        <w:t xml:space="preserve"> </w:t>
      </w:r>
      <w:r>
        <w:t xml:space="preserve">There was little consistency in species- or individual-level responses across droughts, reflecting dissimilar effects of a key species trait (deciduousness) and variables linked to tree drought experience (TWI, DBH, CII) under differing drought conditions.</w:t>
      </w:r>
      <w:r>
        <w:t xml:space="preserve"> </w:t>
      </w:r>
      <w:r>
        <w:t xml:space="preserve">Despite lower extremes of temperature, vapor pressure deficit, and number of dry days (Fig. 2a), the severe drought in 2015 that peaked in the wet season elicited stronger responses across trees, especially deciduous species, which are expected to have stronger seasonality in growth phenology (Fig 3).</w:t>
      </w:r>
      <w:r>
        <w:t xml:space="preserve"> </w:t>
      </w:r>
      <w:r>
        <w:t xml:space="preserve">Interestingly, deciduous species had divergent responses in 2015 and 2020, especially along a wetness gradient; they showed greater growth declines in wetter than drier sites in 2015 and the reverse in 2020, while evergreen species showed greater declines in drier sites in both 2015 and 2020 (Fig 3b, Fig 4b).</w:t>
      </w:r>
      <w:r>
        <w:t xml:space="preserve"> </w:t>
      </w:r>
      <w:r>
        <w:t xml:space="preserve">Although trees with more exposed crowns tended to grow less under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droughts that extended into the wet season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may contribute to stabilizing ecosystem function and maintaining species diversity.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seasonal timing, magnitude and duration of meteorological anomalies, and severity as classified with SPEI (Table 1, Fig. 1).</w:t>
      </w:r>
      <w:r>
        <w:t xml:space="preserve"> </w:t>
      </w:r>
      <w:r>
        <w:t xml:space="preserve"> </w:t>
      </w:r>
      <w:r>
        <w:t xml:space="preserve"> </w:t>
      </w:r>
      <w:r>
        <w:t xml:space="preserve">Our finding that a severe wet-season drought in 2015 had greater impact on woody growth than dry-season drought in 2010 and dry-to-wet-season drought in 2020 is somewhat contrary to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However, the strength of the ecological response to the 2015 wet-season drought (Fig. 1) does not align with this conclusion.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 together with concurrent measures of soil water availability.</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adaptive variation towards drought resistance potentially resulting in a greater diversity of drought responses compared to other bioclimatic zones where adaptive pressures and thus ecological variability are different.</w:t>
      </w:r>
      <w:r>
        <w:t xml:space="preserve"> </w:t>
      </w:r>
      <w:r>
        <w:t xml:space="preserve">We demonstrate that species identity and a key species adaptation (deciduousness) interact with drought characteristics and microenvironment to shape drought responses in a dry seasonal evergreen forest.</w:t>
      </w:r>
      <w:r>
        <w:t xml:space="preserve"> </w:t>
      </w:r>
      <w:r>
        <w:t xml:space="preserve">This aligns closely with recent global analyses using tree ring chronologies showing hetereogeneous responses of tree functional types to drought types</w:t>
      </w:r>
      <w:r>
        <w:t xml:space="preserve"> </w:t>
      </w:r>
      <w:r>
        <w:t xml:space="preserve">(Zuidema</w:t>
      </w:r>
      <w:r>
        <w:t xml:space="preserve"> </w:t>
      </w:r>
      <w:r>
        <w:rPr>
          <w:iCs/>
          <w:i/>
        </w:rPr>
        <w:t xml:space="preserve">et al.</w:t>
      </w:r>
      <w:r>
        <w:t xml:space="preserve"> </w:t>
      </w:r>
      <w:r>
        <w:t xml:space="preserve">2025)</w:t>
      </w:r>
      <w:r>
        <w:t xml:space="preserve">.</w:t>
      </w:r>
      <w:r>
        <w:t xml:space="preserve"> </w:t>
      </w:r>
      <w:r>
        <w:t xml:space="preserve">Strong seasonality in tropical dry forests exerts selective pressures on hydraulic strategies resulting in diversification along the hydraulic safety-efficiency axis with diverse strategies to optimise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(Groenendijk</w:t>
      </w:r>
      <w:r>
        <w:t xml:space="preserve"> </w:t>
      </w:r>
      <w:r>
        <w:rPr>
          <w:iCs/>
          <w:i/>
        </w:rPr>
        <w:t xml:space="preserve">et al.</w:t>
      </w:r>
      <w:r>
        <w:t xml:space="preserve"> </w:t>
      </w:r>
      <w:r>
        <w:t xml:space="preserve">2025)</w:t>
      </w:r>
      <w:r>
        <w:t xml:space="preserve">, we know exceedingly little about how tropical tree species with different above- and below-ground traits along the hydraulic safety-efficiency spectrum respond to different types of drought, and how these responses may be modified by microenvironments.</w:t>
      </w:r>
      <w:r>
        <w:t xml:space="preserve"> </w:t>
      </w:r>
      <w:r>
        <w:t xml:space="preserve">Again, continued expansion of dendrometer band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observations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direction of the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S6, Table S1).</w:t>
      </w:r>
      <w:r>
        <w:t xml:space="preserve"> </w:t>
      </w:r>
      <w:r>
        <w:t xml:space="preserve">Extrapolating from such dendrochronological data, therefore, could lead to important errors if attributed to other species, potentially misrepresenting drought impacts conservation or silviculture, e.g. </w:t>
      </w:r>
      <w:r>
        <w:rPr>
          <w:iCs/>
          <w:i/>
        </w:rPr>
        <w:t xml:space="preserve">Dipterocarpus alatus</w:t>
      </w:r>
      <w:r>
        <w:t xml:space="preserve">, a conservation and commercial priority species, presents a different drought response (Table S1).</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can make particular species and trees resistant to some droughts but vulnerable to others.</w:t>
      </w:r>
      <w:r>
        <w:t xml:space="preserve"> </w:t>
      </w:r>
      <w:r>
        <w:t xml:space="preserve">These distinct responses of species and individuals to droughts suggests potential biological insurance effects</w:t>
      </w:r>
      <w:r>
        <w:t xml:space="preserve"> </w:t>
      </w:r>
      <w:r>
        <w:t xml:space="preserve">(Loreau</w:t>
      </w:r>
      <w:r>
        <w:t xml:space="preserve"> </w:t>
      </w:r>
      <w:r>
        <w:rPr>
          <w:iCs/>
          <w:i/>
        </w:rPr>
        <w:t xml:space="preserve">et al.</w:t>
      </w:r>
      <w:r>
        <w:t xml:space="preserve"> </w:t>
      </w:r>
      <w:r>
        <w:t xml:space="preserve">2021)</w:t>
      </w:r>
      <w:r>
        <w:t xml:space="preserve"> </w:t>
      </w:r>
      <w:r>
        <w:t xml:space="preserve">among tropical tree responses, in alignment with recent global analyses</w:t>
      </w:r>
      <w:r>
        <w:t xml:space="preserve"> </w:t>
      </w:r>
      <w:r>
        <w:t xml:space="preserve">(Langan</w:t>
      </w:r>
      <w:r>
        <w:t xml:space="preserve"> </w:t>
      </w:r>
      <w:r>
        <w:rPr>
          <w:iCs/>
          <w:i/>
        </w:rPr>
        <w:t xml:space="preserve">et al.</w:t>
      </w:r>
      <w:r>
        <w:t xml:space="preserve"> </w:t>
      </w:r>
      <w:r>
        <w:t xml:space="preserve">2025; Liu</w:t>
      </w:r>
      <w:r>
        <w:t xml:space="preserve"> </w:t>
      </w:r>
      <w:r>
        <w:rPr>
          <w:iCs/>
          <w:i/>
        </w:rPr>
        <w:t xml:space="preserve">et al.</w:t>
      </w:r>
      <w:r>
        <w:t xml:space="preserve"> </w:t>
      </w:r>
      <w:r>
        <w:t xml:space="preserve">2022; Zuidema</w:t>
      </w:r>
      <w:r>
        <w:t xml:space="preserve"> </w:t>
      </w:r>
      <w:r>
        <w:rPr>
          <w:iCs/>
          <w:i/>
        </w:rPr>
        <w:t xml:space="preserve">et al.</w:t>
      </w:r>
      <w:r>
        <w:t xml:space="preserve"> </w:t>
      </w:r>
      <w:r>
        <w:t xml:space="preserve">2025)</w:t>
      </w:r>
      <w:r>
        <w:t xml:space="preserve">.</w:t>
      </w:r>
    </w:p>
    <w:p>
      <w:pPr>
        <w:pStyle w:val="BodyText"/>
      </w:pPr>
      <w:r>
        <w:t xml:space="preserve">Our study reveals that drought sensitivity is not a simple, static function of species identity, traits, or microenvironments, but rather a complex,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Simple, 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comprehensive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stabilizing functioning of diverse tropical forests under drought.</w:t>
      </w:r>
    </w:p>
    <w:bookmarkEnd w:id="33"/>
    <w:bookmarkStart w:id="34"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David Bauman provided helpful discussions on causal inference modelling.</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4"/>
    <w:bookmarkStart w:id="142" w:name="references"/>
    <w:p>
      <w:pPr>
        <w:pStyle w:val="Heading1"/>
      </w:pPr>
      <w:r>
        <w:t xml:space="preserve">References</w:t>
      </w:r>
    </w:p>
    <w:bookmarkStart w:id="141" w:name="refs"/>
    <w:bookmarkStart w:id="3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6"/>
    <w:bookmarkStart w:id="38"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7">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8"/>
    <w:bookmarkStart w:id="4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3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0"/>
    <w:bookmarkStart w:id="42"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1">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2"/>
    <w:bookmarkStart w:id="44" w:name="ref-bamston_documentation_1997"/>
    <w:p>
      <w:pPr>
        <w:pStyle w:val="Bibliography"/>
      </w:pPr>
      <w:r>
        <w:t xml:space="preserve">Bamston, A.G., Chelliah, M. &amp; Goldenberg, S.B. (1997).</w:t>
      </w:r>
      <w:r>
        <w:t xml:space="preserve"> </w:t>
      </w:r>
      <w:hyperlink r:id="rId43">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4"/>
    <w:bookmarkStart w:id="46" w:name="ref-bennett_larger_2015"/>
    <w:p>
      <w:pPr>
        <w:pStyle w:val="Bibliography"/>
      </w:pPr>
      <w:r>
        <w:t xml:space="preserve">Bennett, A.C., McDowell, N.G., Allen, C.D. &amp; Anderson-Teixeira, K.J. (2015).</w:t>
      </w:r>
      <w:r>
        <w:t xml:space="preserve"> </w:t>
      </w:r>
      <w:hyperlink r:id="rId45">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6"/>
    <w:bookmarkStart w:id="48"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7">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8"/>
    <w:bookmarkStart w:id="49"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49"/>
    <w:bookmarkStart w:id="51" w:name="ref-bürkner_brms_2017"/>
    <w:p>
      <w:pPr>
        <w:pStyle w:val="Bibliography"/>
      </w:pPr>
      <w:r>
        <w:t xml:space="preserve">Bürkner, P.-C. (2017).</w:t>
      </w:r>
      <w:r>
        <w:t xml:space="preserve"> </w:t>
      </w:r>
      <w:hyperlink r:id="rId50">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1"/>
    <w:bookmarkStart w:id="52"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2"/>
    <w:bookmarkStart w:id="54"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3">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4"/>
    <w:bookmarkStart w:id="56" w:name="ref-clark_annual_2021"/>
    <w:p>
      <w:pPr>
        <w:pStyle w:val="Bibliography"/>
      </w:pPr>
      <w:r>
        <w:t xml:space="preserve">Clark, D.A., Clark, D.B. &amp; Oberbauer, S.F. (2021).</w:t>
      </w:r>
      <w:r>
        <w:t xml:space="preserve"> </w:t>
      </w:r>
      <w:hyperlink r:id="rId55">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6"/>
    <w:bookmarkStart w:id="58" w:name="ref-clark_annual_2010"/>
    <w:p>
      <w:pPr>
        <w:pStyle w:val="Bibliography"/>
      </w:pPr>
      <w:r>
        <w:t xml:space="preserve">Clark, D.B., Clark, D.A. &amp; Oberbauer, S.F. (2010).</w:t>
      </w:r>
      <w:r>
        <w:t xml:space="preserve"> </w:t>
      </w:r>
      <w:hyperlink r:id="rId57">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58"/>
    <w:bookmarkStart w:id="60" w:name="ref-dahinden_future_2017"/>
    <w:p>
      <w:pPr>
        <w:pStyle w:val="Bibliography"/>
      </w:pPr>
      <w:r>
        <w:t xml:space="preserve">Dahinden, F., Fischer, E.M. &amp; Knutti, R. (2017).</w:t>
      </w:r>
      <w:r>
        <w:t xml:space="preserve"> </w:t>
      </w:r>
      <w:hyperlink r:id="rId59">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0"/>
    <w:bookmarkStart w:id="62" w:name="ref-desouza_drought_2020"/>
    <w:p>
      <w:pPr>
        <w:pStyle w:val="Bibliography"/>
      </w:pPr>
      <w:r>
        <w:t xml:space="preserve">De Souza, B.C., Carvalho, E.C.D., Oliveira, R.S., De Araujo, F.S., De Lima, A.L.A. &amp; Rodal, M.J.N. (2020).</w:t>
      </w:r>
      <w:r>
        <w:t xml:space="preserve"> </w:t>
      </w:r>
      <w:hyperlink r:id="rId61">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2"/>
    <w:bookmarkStart w:id="63" w:name="ref-detto_correcting_2023"/>
    <w:p>
      <w:pPr>
        <w:pStyle w:val="Bibliography"/>
      </w:pPr>
      <w:r>
        <w:t xml:space="preserve">Detto, M. &amp; Muller-Landau, H.C. (2023). Correcting dendrometer measurements for stem curvature.</w:t>
      </w:r>
    </w:p>
    <w:bookmarkEnd w:id="63"/>
    <w:bookmarkStart w:id="65" w:name="ref-evans_scaling_2025"/>
    <w:p>
      <w:pPr>
        <w:pStyle w:val="Bibliography"/>
      </w:pPr>
      <w:r>
        <w:t xml:space="preserve">Evans, M.E.K., Hu, J. &amp; Michaletz, S.T. (2025).</w:t>
      </w:r>
      <w:r>
        <w:t xml:space="preserve"> </w:t>
      </w:r>
      <w:hyperlink r:id="rId64">
        <w:r>
          <w:rPr>
            <w:rStyle w:val="Hyperlink"/>
          </w:rPr>
          <w:t xml:space="preserve">Scaling plant responses to heat:</w:t>
        </w:r>
        <w:r>
          <w:rPr>
            <w:rStyle w:val="Hyperlink"/>
          </w:rPr>
          <w:t xml:space="preserve"> </w:t>
        </w:r>
        <w:r>
          <w:rPr>
            <w:rStyle w:val="Hyperlink"/>
          </w:rPr>
          <w:t xml:space="preserve">From</w:t>
        </w:r>
        <w:r>
          <w:rPr>
            <w:rStyle w:val="Hyperlink"/>
          </w:rPr>
          <w:t xml:space="preserve"> </w:t>
        </w:r>
        <w:r>
          <w:rPr>
            <w:rStyle w:val="Hyperlink"/>
          </w:rPr>
          <w:t xml:space="preserve">molecules to the biosphere</w:t>
        </w:r>
      </w:hyperlink>
      <w:r>
        <w:t xml:space="preserve">.</w:t>
      </w:r>
      <w:r>
        <w:t xml:space="preserve"> </w:t>
      </w:r>
      <w:r>
        <w:rPr>
          <w:iCs/>
          <w:i/>
        </w:rPr>
        <w:t xml:space="preserve">Science</w:t>
      </w:r>
      <w:r>
        <w:t xml:space="preserve">, 388, 1167–1173.</w:t>
      </w:r>
    </w:p>
    <w:bookmarkEnd w:id="65"/>
    <w:bookmarkStart w:id="67" w:name="ref-fernández-de-uña_role_2023"/>
    <w:p>
      <w:pPr>
        <w:pStyle w:val="Bibliography"/>
      </w:pPr>
      <w:r>
        <w:t xml:space="preserve">Fernández-de-Uña, L., Martínez-Vilalta, J., Poyatos, R., Mencuccini, M. &amp; McDowell, N.G. (2023).</w:t>
      </w:r>
      <w:r>
        <w:t xml:space="preserve"> </w:t>
      </w:r>
      <w:hyperlink r:id="rId66">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67"/>
    <w:bookmarkStart w:id="69"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68">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69"/>
    <w:bookmarkStart w:id="71"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0">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1"/>
    <w:bookmarkStart w:id="73" w:name="ref-garcía-cervigón_climate_2020"/>
    <w:p>
      <w:pPr>
        <w:pStyle w:val="Bibliography"/>
      </w:pPr>
      <w:r>
        <w:t xml:space="preserve">García-Cervigón, A.I., Camarero, J.J., Cueva, E., Espinosa, C.I. &amp; Escudero, A. (2020).</w:t>
      </w:r>
      <w:r>
        <w:t xml:space="preserve"> </w:t>
      </w:r>
      <w:hyperlink r:id="rId72">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3"/>
    <w:bookmarkStart w:id="75"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4">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5"/>
    <w:bookmarkStart w:id="77" w:name="ref-groenendijk_importance_2025"/>
    <w:p>
      <w:pPr>
        <w:pStyle w:val="Bibliography"/>
      </w:pPr>
      <w:r>
        <w:t xml:space="preserve">Groenendijk, P., Babst, F., Trouet, V., Fan, Z.-X., Granato-Souza, D., Locosselli, G.M.,</w:t>
      </w:r>
      <w:r>
        <w:t xml:space="preserve"> </w:t>
      </w:r>
      <w:r>
        <w:rPr>
          <w:iCs/>
          <w:i/>
        </w:rPr>
        <w:t xml:space="preserve">et al.</w:t>
      </w:r>
      <w:r>
        <w:t xml:space="preserve"> (2025).</w:t>
      </w:r>
      <w:r>
        <w:t xml:space="preserve"> </w:t>
      </w:r>
      <w:hyperlink r:id="rId76">
        <w:r>
          <w:rPr>
            <w:rStyle w:val="Hyperlink"/>
          </w:rPr>
          <w:t xml:space="preserve">The importance of tropical tree-ring chronologies for global change research</w:t>
        </w:r>
      </w:hyperlink>
      <w:r>
        <w:t xml:space="preserve">.</w:t>
      </w:r>
      <w:r>
        <w:t xml:space="preserve"> </w:t>
      </w:r>
      <w:r>
        <w:rPr>
          <w:iCs/>
          <w:i/>
        </w:rPr>
        <w:t xml:space="preserve">Quaternary Science Reviews</w:t>
      </w:r>
      <w:r>
        <w:t xml:space="preserve">, 355, 109233.</w:t>
      </w:r>
    </w:p>
    <w:bookmarkEnd w:id="77"/>
    <w:bookmarkStart w:id="7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7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79"/>
    <w:bookmarkStart w:id="81" w:name="ref-hulshof_variation_2010"/>
    <w:p>
      <w:pPr>
        <w:pStyle w:val="Bibliography"/>
      </w:pPr>
      <w:r>
        <w:t xml:space="preserve">Hulshof, C.M. &amp; Swenson, N.G. (2010).</w:t>
      </w:r>
      <w:r>
        <w:t xml:space="preserve"> </w:t>
      </w:r>
      <w:hyperlink r:id="rId80">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81"/>
    <w:bookmarkStart w:id="83" w:name="ref-ipcc_climate_2023"/>
    <w:p>
      <w:pPr>
        <w:pStyle w:val="Bibliography"/>
      </w:pPr>
      <w:r>
        <w:t xml:space="preserve">IPCC. (2023).</w:t>
      </w:r>
      <w:r>
        <w:t xml:space="preserve"> </w:t>
      </w:r>
      <w:hyperlink r:id="rId82">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3"/>
    <w:bookmarkStart w:id="8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5"/>
    <w:bookmarkStart w:id="87" w:name="ref-langan_amazon_2025"/>
    <w:p>
      <w:pPr>
        <w:pStyle w:val="Bibliography"/>
      </w:pPr>
      <w:r>
        <w:t xml:space="preserve">Langan, L., Scheiter, S., Hickler, T. &amp; Higgins, S.I. (2025).</w:t>
      </w:r>
      <w:r>
        <w:t xml:space="preserve"> </w:t>
      </w:r>
      <w:hyperlink r:id="rId86">
        <w:r>
          <w:rPr>
            <w:rStyle w:val="Hyperlink"/>
          </w:rPr>
          <w:t xml:space="preserve">Amazon forest resistance to drought is increased by diversity in hydraulic traits</w:t>
        </w:r>
      </w:hyperlink>
      <w:r>
        <w:t xml:space="preserve">.</w:t>
      </w:r>
      <w:r>
        <w:t xml:space="preserve"> </w:t>
      </w:r>
      <w:r>
        <w:rPr>
          <w:iCs/>
          <w:i/>
        </w:rPr>
        <w:t xml:space="preserve">Nature Communications</w:t>
      </w:r>
      <w:r>
        <w:t xml:space="preserve">, 16, 8246.</w:t>
      </w:r>
    </w:p>
    <w:bookmarkEnd w:id="87"/>
    <w:bookmarkStart w:id="88"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8"/>
    <w:bookmarkStart w:id="90" w:name="ref-liu_drought_2022"/>
    <w:p>
      <w:pPr>
        <w:pStyle w:val="Bibliography"/>
      </w:pPr>
      <w:r>
        <w:t xml:space="preserve">Liu, D., Wang, T., Peñuelas, J. &amp; Piao, S. (2022).</w:t>
      </w:r>
      <w:r>
        <w:t xml:space="preserve"> </w:t>
      </w:r>
      <w:hyperlink r:id="rId89">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90"/>
    <w:bookmarkStart w:id="92" w:name="ref-loreau_biodiversity_2021"/>
    <w:p>
      <w:pPr>
        <w:pStyle w:val="Bibliography"/>
      </w:pPr>
      <w:r>
        <w:t xml:space="preserve">Loreau, M., Barbier, M., Filotas, E., Gravel, D., Isbell, F., Miller, S.J.,</w:t>
      </w:r>
      <w:r>
        <w:t xml:space="preserve"> </w:t>
      </w:r>
      <w:r>
        <w:rPr>
          <w:iCs/>
          <w:i/>
        </w:rPr>
        <w:t xml:space="preserve">et al.</w:t>
      </w:r>
      <w:r>
        <w:t xml:space="preserve"> (2021).</w:t>
      </w:r>
      <w:r>
        <w:t xml:space="preserve"> </w:t>
      </w:r>
      <w:hyperlink r:id="rId91">
        <w:r>
          <w:rPr>
            <w:rStyle w:val="Hyperlink"/>
          </w:rPr>
          <w:t xml:space="preserve">Biodiversity as insurance: From concept to measurement and application</w:t>
        </w:r>
      </w:hyperlink>
      <w:r>
        <w:t xml:space="preserve">.</w:t>
      </w:r>
      <w:r>
        <w:t xml:space="preserve"> </w:t>
      </w:r>
      <w:r>
        <w:rPr>
          <w:iCs/>
          <w:i/>
        </w:rPr>
        <w:t xml:space="preserve">Biological Reviews</w:t>
      </w:r>
      <w:r>
        <w:t xml:space="preserve">, 96, 2333–2354.</w:t>
      </w:r>
    </w:p>
    <w:bookmarkEnd w:id="92"/>
    <w:bookmarkStart w:id="94" w:name="ref-luo_tropical_2022"/>
    <w:p>
      <w:pPr>
        <w:pStyle w:val="Bibliography"/>
      </w:pPr>
      <w:r>
        <w:t xml:space="preserve">Luo, X. &amp; Keenan, T.F. (2022).</w:t>
      </w:r>
      <w:r>
        <w:t xml:space="preserve"> </w:t>
      </w:r>
      <w:hyperlink r:id="rId93">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4"/>
    <w:bookmarkStart w:id="96" w:name="ref-ma_tree_2023"/>
    <w:p>
      <w:pPr>
        <w:pStyle w:val="Bibliography"/>
      </w:pPr>
      <w:r>
        <w:t xml:space="preserve">Ma, Q., Su, Y., Niu, C., Ma, Q., Hu, T., Luo, X.,</w:t>
      </w:r>
      <w:r>
        <w:t xml:space="preserve"> </w:t>
      </w:r>
      <w:r>
        <w:rPr>
          <w:iCs/>
          <w:i/>
        </w:rPr>
        <w:t xml:space="preserve">et al.</w:t>
      </w:r>
      <w:r>
        <w:t xml:space="preserve"> (2023).</w:t>
      </w:r>
      <w:r>
        <w:t xml:space="preserve"> </w:t>
      </w:r>
      <w:hyperlink r:id="rId95">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6"/>
    <w:bookmarkStart w:id="98" w:name="ref-mcdowell_darcys_2015"/>
    <w:p>
      <w:pPr>
        <w:pStyle w:val="Bibliography"/>
      </w:pPr>
      <w:r>
        <w:t xml:space="preserve">McDowell, N.G. &amp; Allen, C.D. (2015).</w:t>
      </w:r>
      <w:r>
        <w:t xml:space="preserve"> </w:t>
      </w:r>
      <w:hyperlink r:id="rId97">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8"/>
    <w:bookmarkStart w:id="100"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9">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00"/>
    <w:bookmarkStart w:id="101" w:name="ref-muller-landau_metal_2008"/>
    <w:p>
      <w:pPr>
        <w:pStyle w:val="Bibliography"/>
      </w:pPr>
      <w:r>
        <w:t xml:space="preserve">Muller-Landau, H.C. (2008). Metal</w:t>
      </w:r>
      <w:r>
        <w:t xml:space="preserve"> </w:t>
      </w:r>
      <w:r>
        <w:t xml:space="preserve">Band Dendrometer Protocol</w:t>
      </w:r>
      <w:r>
        <w:t xml:space="preserve">.</w:t>
      </w:r>
    </w:p>
    <w:bookmarkEnd w:id="101"/>
    <w:bookmarkStart w:id="103"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102">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103"/>
    <w:bookmarkStart w:id="105"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4">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5"/>
    <w:bookmarkStart w:id="107" w:name="ref-oliveira_linking_2021"/>
    <w:p>
      <w:pPr>
        <w:pStyle w:val="Bibliography"/>
      </w:pPr>
      <w:r>
        <w:t xml:space="preserve">Oliveira, R.S., Eller, C.B., Barros, F. de V., Hirota, M., Brum, M. &amp; Bittencourt, P. (2021).</w:t>
      </w:r>
      <w:r>
        <w:t xml:space="preserve"> </w:t>
      </w:r>
      <w:hyperlink r:id="rId106">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7"/>
    <w:bookmarkStart w:id="108"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8"/>
    <w:bookmarkStart w:id="110" w:name="ref-raesch_pvldcurve_2020"/>
    <w:p>
      <w:pPr>
        <w:pStyle w:val="Bibliography"/>
      </w:pPr>
      <w:r>
        <w:t xml:space="preserve">Raesch, A. (2020).</w:t>
      </w:r>
      <w:r>
        <w:t xml:space="preserve"> </w:t>
      </w:r>
      <w:hyperlink r:id="rId109">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10"/>
    <w:bookmarkStart w:id="112" w:name="ref-räsänen_spatial_2016"/>
    <w:p>
      <w:pPr>
        <w:pStyle w:val="Bibliography"/>
      </w:pPr>
      <w:r>
        <w:t xml:space="preserve">Räsänen, T.A., Lindgren, V., Guillaume, J.H.A., Buckley, B.M. &amp; Kummu, M. (2016).</w:t>
      </w:r>
      <w:r>
        <w:t xml:space="preserve"> </w:t>
      </w:r>
      <w:hyperlink r:id="rId111">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12"/>
    <w:bookmarkStart w:id="114" w:name="ref-scharnweber_confessions_2019"/>
    <w:p>
      <w:pPr>
        <w:pStyle w:val="Bibliography"/>
      </w:pPr>
      <w:r>
        <w:t xml:space="preserve">Scharnweber, T., Heinze, L., Cruz-García, R., van der Maaten-Theunissen, M. &amp; Wilmking, M. (2019).</w:t>
      </w:r>
      <w:r>
        <w:t xml:space="preserve"> </w:t>
      </w:r>
      <w:hyperlink r:id="rId113">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4"/>
    <w:bookmarkStart w:id="116"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5">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6"/>
    <w:bookmarkStart w:id="117"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7"/>
    <w:bookmarkStart w:id="119" w:name="ref-stahl_depth_2013"/>
    <w:p>
      <w:pPr>
        <w:pStyle w:val="Bibliography"/>
      </w:pPr>
      <w:r>
        <w:t xml:space="preserve">Stahl, C., Hérault, B., Rossi, V., Burban, B., Bréchet, C. &amp; Bonal, D. (2013).</w:t>
      </w:r>
      <w:r>
        <w:t xml:space="preserve"> </w:t>
      </w:r>
      <w:hyperlink r:id="rId118">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9"/>
    <w:bookmarkStart w:id="121" w:name="ref-trugman_why_2021"/>
    <w:p>
      <w:pPr>
        <w:pStyle w:val="Bibliography"/>
      </w:pPr>
      <w:r>
        <w:t xml:space="preserve">Trugman, A.T., Anderegg, L.D.L., Anderegg, W.R.L., Das, A.J. &amp; Stephenson, N.L. (2021).</w:t>
      </w:r>
      <w:r>
        <w:t xml:space="preserve"> </w:t>
      </w:r>
      <w:hyperlink r:id="rId120">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21"/>
    <w:bookmarkStart w:id="123" w:name="ref-vasey_intraspecific_2022"/>
    <w:p>
      <w:pPr>
        <w:pStyle w:val="Bibliography"/>
      </w:pPr>
      <w:r>
        <w:t xml:space="preserve">Vasey, G.L., Weisberg, P.J. &amp; Urza, A.K. (2022).</w:t>
      </w:r>
      <w:r>
        <w:t xml:space="preserve"> </w:t>
      </w:r>
      <w:hyperlink r:id="rId122">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3"/>
    <w:bookmarkStart w:id="124"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4"/>
    <w:bookmarkStart w:id="126" w:name="ref-vicente-serrano_multiscalar_2010"/>
    <w:p>
      <w:pPr>
        <w:pStyle w:val="Bibliography"/>
      </w:pPr>
      <w:r>
        <w:t xml:space="preserve">Vicente-Serrano, S.M., Beguería, S. &amp; López-Moreno, J.I. (2010).</w:t>
      </w:r>
      <w:r>
        <w:t xml:space="preserve"> </w:t>
      </w:r>
      <w:hyperlink r:id="rId125">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6"/>
    <w:bookmarkStart w:id="128" w:name="ref-vico_how_2017a"/>
    <w:p>
      <w:pPr>
        <w:pStyle w:val="Bibliography"/>
      </w:pPr>
      <w:r>
        <w:t xml:space="preserve">Vico, G., Dralle, D., Feng, X., Thompson, S. &amp; Manzoni, S. (2017).</w:t>
      </w:r>
      <w:r>
        <w:t xml:space="preserve"> </w:t>
      </w:r>
      <w:hyperlink r:id="rId127">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8"/>
    <w:bookmarkStart w:id="130"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9">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30"/>
    <w:bookmarkStart w:id="132" w:name="ref-vlam_temperature_2014"/>
    <w:p>
      <w:pPr>
        <w:pStyle w:val="Bibliography"/>
      </w:pPr>
      <w:r>
        <w:t xml:space="preserve">Vlam, M., Baker, P.J., Bunyavejchewin, S. &amp; Zuidema, P.A. (2014).</w:t>
      </w:r>
      <w:r>
        <w:t xml:space="preserve"> </w:t>
      </w:r>
      <w:hyperlink r:id="rId131">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32"/>
    <w:bookmarkStart w:id="134" w:name="ref-williams_deciduousness_2008"/>
    <w:p>
      <w:pPr>
        <w:pStyle w:val="Bibliography"/>
      </w:pPr>
      <w:r>
        <w:t xml:space="preserve">Williams, L.J., Bunyavejchewin, S. &amp; Baker, P.J. (2008).</w:t>
      </w:r>
      <w:r>
        <w:t xml:space="preserve"> </w:t>
      </w:r>
      <w:hyperlink r:id="rId133">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4"/>
    <w:bookmarkStart w:id="135"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5"/>
    <w:bookmarkStart w:id="137"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6">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7"/>
    <w:bookmarkStart w:id="138" w:name="ref-zuidema_pantropical_2025"/>
    <w:p>
      <w:pPr>
        <w:pStyle w:val="Bibliography"/>
      </w:pPr>
      <w:r>
        <w:t xml:space="preserve">Zuidema, P.A., Groenendijk, P., Rahman, M., Trouet, V., Abiyu, A., Acuña-Soto, R.,</w:t>
      </w:r>
      <w:r>
        <w:t xml:space="preserve"> </w:t>
      </w:r>
      <w:r>
        <w:rPr>
          <w:iCs/>
          <w:i/>
        </w:rPr>
        <w:t xml:space="preserve">et al.</w:t>
      </w:r>
      <w:r>
        <w:t xml:space="preserve"> (2025). Pantropical tree rings show small effects of drought on stem growth.</w:t>
      </w:r>
    </w:p>
    <w:bookmarkEnd w:id="138"/>
    <w:bookmarkStart w:id="140" w:name="ref-zuleta_droughtinduced_2017"/>
    <w:p>
      <w:pPr>
        <w:pStyle w:val="Bibliography"/>
      </w:pPr>
      <w:r>
        <w:t xml:space="preserve">Zuleta, D., Duque, A., Cardenas, D., Muller-Landau, H.C. &amp; Davies, S.J. (2017).</w:t>
      </w:r>
      <w:r>
        <w:t xml:space="preserve"> </w:t>
      </w:r>
      <w:hyperlink r:id="rId139">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40"/>
    <w:bookmarkEnd w:id="141"/>
    <w:p>
      <w:r>
        <w:br w:type="page"/>
      </w:r>
    </w:p>
    <w:bookmarkEnd w:id="142"/>
    <w:bookmarkStart w:id="144" w:name="tables"/>
    <w:p>
      <w:pPr>
        <w:pStyle w:val="Heading1"/>
      </w:pPr>
      <w:r>
        <w:t xml:space="preserve">Tables</w:t>
      </w:r>
    </w:p>
    <w:p>
      <w:pPr>
        <w:pStyle w:val="TableCaption"/>
      </w:pPr>
      <w:bookmarkStart w:id="143" w:name="tab:table"/>
      <w:bookmarkEnd w:id="143"/>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8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(DBH)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p>
      <w:r>
        <w:br w:type="page"/>
      </w:r>
    </w:p>
    <w:bookmarkEnd w:id="144"/>
    <w:bookmarkStart w:id="145" w:name="figure-legends"/>
    <w:p>
      <w:pPr>
        <w:pStyle w:val="Heading1"/>
      </w:pPr>
      <w:r>
        <w:t xml:space="preserve">Figure Legends</w:t>
      </w:r>
    </w:p>
    <w:p>
      <w:pPr>
        <w:pStyle w:val="FirstParagraph"/>
      </w:pPr>
      <w:r>
        <w:rPr>
          <w:iCs/>
          <w:i/>
          <w:bCs/>
          <w:b/>
        </w:rPr>
        <w:t xml:space="preserve">Figure 1. Climatic characteristics of the focal drought years compared with the average across years</w:t>
      </w:r>
      <w:r>
        <w:t xml:space="preserve"> </w:t>
      </w:r>
      <w:r>
        <w:t xml:space="preserve">in the Huai Kha Khaeng ForestGEO plot, for four daily climate variables: dry days, precipitation, maximum temperature and VPD. (a) 30-day rolling means (in colour for each year) along with their long-term mean and standard deviation (in grey).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current month. Across all panels, light blue background represents the average wet 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for all trees of the thirty species analysed (black), and median of species medians (dark grey)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drought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CII classes in 2010, 2015 and 2020.</w:t>
      </w:r>
    </w:p>
    <w:bookmarkEnd w:id="145"/>
    <w:sectPr w:rsidR="006B7445" w:rsidRPr="00332BBF" w:rsidSect="00AB3C3D">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1372168"/>
      <w:docPartObj>
        <w:docPartGallery w:val="Page Numbers (Bottom of Page)"/>
        <w:docPartUnique/>
      </w:docPartObj>
    </w:sdtPr>
    <w:sdtContent>
      <w:p w14:paraId="5C24B467" w14:textId="77777777" w:rsidR="003A7EEA" w:rsidRDefault="003A7EEA"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163920">
    <w:pPr>
      <w:pStyle w:val="Footer"/>
      <w:rPr>
        <w:rStyle w:val="PageNumber"/>
      </w:rPr>
    </w:pPr>
  </w:p>
  <w:p w14:paraId="682FE8E2" w14:textId="77777777" w:rsidR="00955CBE" w:rsidRDefault="00955CBE" w:rsidP="00163920">
    <w:pPr>
      <w:pStyle w:val="Footer"/>
    </w:pPr>
  </w:p>
  <w:p w14:paraId="110617C5" w14:textId="77777777" w:rsidR="00365540" w:rsidRDefault="0036554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824436"/>
      <w:docPartObj>
        <w:docPartGallery w:val="Page Numbers (Bottom of Page)"/>
        <w:docPartUnique/>
      </w:docPartObj>
    </w:sdtPr>
    <w:sdtEndPr>
      <w:rPr>
        <w:noProof/>
      </w:rPr>
    </w:sdtEndPr>
    <w:sdtContent>
      <w:p w14:paraId="75B9428F" w14:textId="0373C4CD" w:rsidR="00F80DF0" w:rsidRDefault="00F80D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E23CA" w14:textId="77777777" w:rsidR="00365540" w:rsidRDefault="0036554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8786"/>
      <w:docPartObj>
        <w:docPartGallery w:val="Page Numbers (Bottom of Page)"/>
        <w:docPartUnique/>
      </w:docPartObj>
    </w:sdtPr>
    <w:sdtEndPr>
      <w:rPr>
        <w:noProof/>
      </w:rPr>
    </w:sdtEndPr>
    <w:sdtContent>
      <w:p w14:paraId="245B8E1A" w14:textId="0017BC07" w:rsidR="00396F2D" w:rsidRDefault="00396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86B4" w14:textId="77777777" w:rsidR="00413409" w:rsidRDefault="00413409" w:rsidP="001639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99CF2" w14:textId="77777777" w:rsidR="00413409" w:rsidRDefault="00413409" w:rsidP="00163920">
    <w:pPr>
      <w:pStyle w:val="Header"/>
    </w:pPr>
  </w:p>
  <w:p w14:paraId="69D6E45A" w14:textId="77777777" w:rsidR="00365540" w:rsidRDefault="0036554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956" w14:textId="6288E5B5" w:rsidR="00365540" w:rsidRPr="00E93916" w:rsidRDefault="0036554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4B3B" w14:textId="77777777" w:rsidR="00E93916" w:rsidRDefault="00E93916" w:rsidP="001639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97A2" w14:textId="38E13156" w:rsidR="006B7445" w:rsidRPr="00E93916" w:rsidRDefault="006B7445" w:rsidP="0016392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3920"/>
    <w:pPr>
      <w:spacing w:after="120" w:before="100" w:beforeAutospacing="1"/>
    </w:pPr>
    <w:rPr>
      <w:rFonts w:ascii="Palatino Linotype" w:hAnsi="Palatino Linotype"/>
      <w:sz w:val="22"/>
      <w:szCs w:val="22"/>
    </w:rPr>
  </w:style>
  <w:style w:styleId="Heading1" w:type="paragraph">
    <w:name w:val="heading 1"/>
    <w:basedOn w:val="Normal"/>
    <w:next w:val="Normal"/>
    <w:link w:val="Heading1Char"/>
    <w:uiPriority w:val="9"/>
    <w:qFormat/>
    <w:rsid w:val="00200573"/>
    <w:pPr>
      <w:outlineLvl w:val="0"/>
    </w:pPr>
    <w:rPr>
      <w:b/>
      <w:bCs/>
      <w:smallCaps/>
    </w:rPr>
  </w:style>
  <w:style w:styleId="Heading2" w:type="paragraph">
    <w:name w:val="heading 2"/>
    <w:basedOn w:val="Heading3"/>
    <w:next w:val="Normal"/>
    <w:link w:val="Heading2Char"/>
    <w:uiPriority w:val="9"/>
    <w:unhideWhenUsed/>
    <w:qFormat/>
    <w:rsid w:val="00200573"/>
    <w:pPr>
      <w:outlineLvl w:val="1"/>
    </w:pPr>
    <w:rPr>
      <w:b/>
      <w:bCs/>
    </w:rPr>
  </w:style>
  <w:style w:styleId="Heading3" w:type="paragraph">
    <w:name w:val="heading 3"/>
    <w:basedOn w:val="Normal"/>
    <w:next w:val="Normal"/>
    <w:link w:val="Heading3Char"/>
    <w:uiPriority w:val="9"/>
    <w:unhideWhenUsed/>
    <w:qFormat/>
    <w:rsid w:val="00200573"/>
    <w:pPr>
      <w:keepNext/>
      <w:keepLines/>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200573"/>
    <w:rPr>
      <w:rFonts w:ascii="Palatino Linotype" w:cstheme="majorBidi" w:eastAsiaTheme="majorEastAsia" w:hAnsi="Palatino Linotype"/>
      <w:b/>
      <w:bCs/>
      <w:szCs w:val="24"/>
    </w:rPr>
  </w:style>
  <w:style w:customStyle="1" w:styleId="Heading1Char" w:type="character">
    <w:name w:val="Heading 1 Char"/>
    <w:basedOn w:val="DefaultParagraphFont"/>
    <w:link w:val="Heading1"/>
    <w:uiPriority w:val="9"/>
    <w:rsid w:val="00200573"/>
    <w:rPr>
      <w:rFonts w:ascii="Palatino Linotype" w:hAnsi="Palatino Linotype"/>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200573"/>
    <w:rPr>
      <w:rFonts w:ascii="Palatino Linotype" w:cstheme="majorBidi" w:eastAsiaTheme="majorEastAsia" w:hAnsi="Palatino Linotype"/>
      <w:szCs w:val="24"/>
    </w:rPr>
  </w:style>
  <w:style w:styleId="LineNumber" w:type="character">
    <w:name w:val="line number"/>
    <w:basedOn w:val="DefaultParagraphFont"/>
    <w:uiPriority w:val="99"/>
    <w:semiHidden/>
    <w:unhideWhenUsed/>
    <w:rsid w:val="00F02676"/>
  </w:style>
  <w:style w:customStyle="1" w:styleId="Newpara" w:type="paragraph">
    <w:name w:val="New para"/>
    <w:basedOn w:val="Normal"/>
    <w:qFormat/>
    <w:rsid w:val="00163920"/>
    <w:pPr>
      <w:ind w:firstLine="720"/>
    </w:p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23" Target="doi:10.5281/zenodo.15777974" TargetMode="External" /><Relationship Type="http://schemas.openxmlformats.org/officeDocument/2006/relationships/hyperlink" Id="rId104" Target="https://doi.org/10.1002/2017GL076521" TargetMode="External" /><Relationship Type="http://schemas.openxmlformats.org/officeDocument/2006/relationships/hyperlink" Id="rId139" Target="https://doi.org/10.1002/ecy.1950" TargetMode="External" /><Relationship Type="http://schemas.openxmlformats.org/officeDocument/2006/relationships/hyperlink" Id="rId133" Target="https://doi.org/10.1007/s00442-007-0938-1" TargetMode="External" /><Relationship Type="http://schemas.openxmlformats.org/officeDocument/2006/relationships/hyperlink" Id="rId118" Target="https://doi.org/10.1007/s00442-013-2724-6" TargetMode="External" /><Relationship Type="http://schemas.openxmlformats.org/officeDocument/2006/relationships/hyperlink" Id="rId131" Target="https://doi.org/10.1007/s00442-013-2846-x" TargetMode="External" /><Relationship Type="http://schemas.openxmlformats.org/officeDocument/2006/relationships/hyperlink" Id="rId61" Target="https://doi.org/10.1007/s00442-020-04760-3" TargetMode="External" /><Relationship Type="http://schemas.openxmlformats.org/officeDocument/2006/relationships/hyperlink" Id="rId113" Target="https://doi.org/10.1016/j.dendro.2019.04.001" TargetMode="External" /><Relationship Type="http://schemas.openxmlformats.org/officeDocument/2006/relationships/hyperlink" Id="rId76" Target="https://doi.org/10.1016/j.quascirev.2025.109233" TargetMode="External" /><Relationship Type="http://schemas.openxmlformats.org/officeDocument/2006/relationships/hyperlink" Id="rId120"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5" Target="https://doi.org/10.1029/2021JG006557" TargetMode="External" /><Relationship Type="http://schemas.openxmlformats.org/officeDocument/2006/relationships/hyperlink" Id="rId97"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93" Target="https://doi.org/10.1038/s41467-022-28824-5" TargetMode="External" /><Relationship Type="http://schemas.openxmlformats.org/officeDocument/2006/relationships/hyperlink" Id="rId95" Target="https://doi.org/10.1038/s41467-023-43083-8" TargetMode="External" /><Relationship Type="http://schemas.openxmlformats.org/officeDocument/2006/relationships/hyperlink" Id="rId86" Target="https://doi.org/10.1038/s41467-025-63600-1"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6" Target="https://doi.org/10.1038/s41561-022-00911-8" TargetMode="External" /><Relationship Type="http://schemas.openxmlformats.org/officeDocument/2006/relationships/hyperlink" Id="rId89" Target="https://doi.org/10.1038/s41561-022-01026-w" TargetMode="External" /><Relationship Type="http://schemas.openxmlformats.org/officeDocument/2006/relationships/hyperlink" Id="rId68"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7" Target="https://doi.org/10.1088/1748-9326/aa6f1b" TargetMode="External" /><Relationship Type="http://schemas.openxmlformats.org/officeDocument/2006/relationships/hyperlink" Id="rId59" Target="https://doi.org/10.1088/1748-9326/aa75d7" TargetMode="External" /><Relationship Type="http://schemas.openxmlformats.org/officeDocument/2006/relationships/hyperlink" Id="rId91" Target="https://doi.org/10.1111/brv.12756" TargetMode="External" /><Relationship Type="http://schemas.openxmlformats.org/officeDocument/2006/relationships/hyperlink" Id="rId74"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0" Target="https://doi.org/10.1111/gcb.14367" TargetMode="External" /><Relationship Type="http://schemas.openxmlformats.org/officeDocument/2006/relationships/hyperlink" Id="rId115"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7" Target="https://doi.org/10.1111/j.1365-2486.2009.02004.x" TargetMode="External" /><Relationship Type="http://schemas.openxmlformats.org/officeDocument/2006/relationships/hyperlink" Id="rId122" Target="https://doi.org/10.1111/jbi.14515" TargetMode="External" /><Relationship Type="http://schemas.openxmlformats.org/officeDocument/2006/relationships/hyperlink" Id="rId72" Target="https://doi.org/10.1111/jvs.12840" TargetMode="External" /><Relationship Type="http://schemas.openxmlformats.org/officeDocument/2006/relationships/hyperlink" Id="rId99"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6" Target="https://doi.org/10.1111/nph.17266" TargetMode="External" /><Relationship Type="http://schemas.openxmlformats.org/officeDocument/2006/relationships/hyperlink" Id="rId53" Target="https://doi.org/10.1111/nph.17464" TargetMode="External" /><Relationship Type="http://schemas.openxmlformats.org/officeDocument/2006/relationships/hyperlink" Id="rId129" Target="https://doi.org/10.1111/nph.18539" TargetMode="External" /><Relationship Type="http://schemas.openxmlformats.org/officeDocument/2006/relationships/hyperlink" Id="rId66" Target="https://doi.org/10.1111/nph.19130" TargetMode="External" /><Relationship Type="http://schemas.openxmlformats.org/officeDocument/2006/relationships/hyperlink" Id="rId64" Target="https://doi.org/10.1126/science.adv7597" TargetMode="External" /><Relationship Type="http://schemas.openxmlformats.org/officeDocument/2006/relationships/hyperlink" Id="rId125" Target="https://doi.org/10.1175/2009JCLI2909.1" TargetMode="External" /><Relationship Type="http://schemas.openxmlformats.org/officeDocument/2006/relationships/hyperlink" Id="rId50" Target="https://doi.org/10.18637/jss.v080.i01" TargetMode="External" /><Relationship Type="http://schemas.openxmlformats.org/officeDocument/2006/relationships/hyperlink" Id="rId109" Target="https://doi.org/10.32614/CRAN.package.pvldcurve" TargetMode="External" /><Relationship Type="http://schemas.openxmlformats.org/officeDocument/2006/relationships/hyperlink" Id="rId111" Target="https://doi.org/10.5194/cp-12-1889-2016" TargetMode="External" /><Relationship Type="http://schemas.openxmlformats.org/officeDocument/2006/relationships/hyperlink" Id="rId102" Target="https://doi.org/10.5194/essd-13-4349-2021"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23" Target="doi:10.5281/zenodo.15777974" TargetMode="External" /><Relationship Type="http://schemas.openxmlformats.org/officeDocument/2006/relationships/hyperlink" Id="rId104" Target="https://doi.org/10.1002/2017GL076521" TargetMode="External" /><Relationship Type="http://schemas.openxmlformats.org/officeDocument/2006/relationships/hyperlink" Id="rId139" Target="https://doi.org/10.1002/ecy.1950" TargetMode="External" /><Relationship Type="http://schemas.openxmlformats.org/officeDocument/2006/relationships/hyperlink" Id="rId133" Target="https://doi.org/10.1007/s00442-007-0938-1" TargetMode="External" /><Relationship Type="http://schemas.openxmlformats.org/officeDocument/2006/relationships/hyperlink" Id="rId118" Target="https://doi.org/10.1007/s00442-013-2724-6" TargetMode="External" /><Relationship Type="http://schemas.openxmlformats.org/officeDocument/2006/relationships/hyperlink" Id="rId131" Target="https://doi.org/10.1007/s00442-013-2846-x" TargetMode="External" /><Relationship Type="http://schemas.openxmlformats.org/officeDocument/2006/relationships/hyperlink" Id="rId61" Target="https://doi.org/10.1007/s00442-020-04760-3" TargetMode="External" /><Relationship Type="http://schemas.openxmlformats.org/officeDocument/2006/relationships/hyperlink" Id="rId113" Target="https://doi.org/10.1016/j.dendro.2019.04.001" TargetMode="External" /><Relationship Type="http://schemas.openxmlformats.org/officeDocument/2006/relationships/hyperlink" Id="rId76" Target="https://doi.org/10.1016/j.quascirev.2025.109233" TargetMode="External" /><Relationship Type="http://schemas.openxmlformats.org/officeDocument/2006/relationships/hyperlink" Id="rId120"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5" Target="https://doi.org/10.1029/2021JG006557" TargetMode="External" /><Relationship Type="http://schemas.openxmlformats.org/officeDocument/2006/relationships/hyperlink" Id="rId97"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93" Target="https://doi.org/10.1038/s41467-022-28824-5" TargetMode="External" /><Relationship Type="http://schemas.openxmlformats.org/officeDocument/2006/relationships/hyperlink" Id="rId95" Target="https://doi.org/10.1038/s41467-023-43083-8" TargetMode="External" /><Relationship Type="http://schemas.openxmlformats.org/officeDocument/2006/relationships/hyperlink" Id="rId86" Target="https://doi.org/10.1038/s41467-025-63600-1"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6" Target="https://doi.org/10.1038/s41561-022-00911-8" TargetMode="External" /><Relationship Type="http://schemas.openxmlformats.org/officeDocument/2006/relationships/hyperlink" Id="rId89" Target="https://doi.org/10.1038/s41561-022-01026-w" TargetMode="External" /><Relationship Type="http://schemas.openxmlformats.org/officeDocument/2006/relationships/hyperlink" Id="rId68"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7" Target="https://doi.org/10.1088/1748-9326/aa6f1b" TargetMode="External" /><Relationship Type="http://schemas.openxmlformats.org/officeDocument/2006/relationships/hyperlink" Id="rId59" Target="https://doi.org/10.1088/1748-9326/aa75d7" TargetMode="External" /><Relationship Type="http://schemas.openxmlformats.org/officeDocument/2006/relationships/hyperlink" Id="rId91" Target="https://doi.org/10.1111/brv.12756" TargetMode="External" /><Relationship Type="http://schemas.openxmlformats.org/officeDocument/2006/relationships/hyperlink" Id="rId74"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0" Target="https://doi.org/10.1111/gcb.14367" TargetMode="External" /><Relationship Type="http://schemas.openxmlformats.org/officeDocument/2006/relationships/hyperlink" Id="rId115"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7" Target="https://doi.org/10.1111/j.1365-2486.2009.02004.x" TargetMode="External" /><Relationship Type="http://schemas.openxmlformats.org/officeDocument/2006/relationships/hyperlink" Id="rId122" Target="https://doi.org/10.1111/jbi.14515" TargetMode="External" /><Relationship Type="http://schemas.openxmlformats.org/officeDocument/2006/relationships/hyperlink" Id="rId72" Target="https://doi.org/10.1111/jvs.12840" TargetMode="External" /><Relationship Type="http://schemas.openxmlformats.org/officeDocument/2006/relationships/hyperlink" Id="rId99"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6" Target="https://doi.org/10.1111/nph.17266" TargetMode="External" /><Relationship Type="http://schemas.openxmlformats.org/officeDocument/2006/relationships/hyperlink" Id="rId53" Target="https://doi.org/10.1111/nph.17464" TargetMode="External" /><Relationship Type="http://schemas.openxmlformats.org/officeDocument/2006/relationships/hyperlink" Id="rId129" Target="https://doi.org/10.1111/nph.18539" TargetMode="External" /><Relationship Type="http://schemas.openxmlformats.org/officeDocument/2006/relationships/hyperlink" Id="rId66" Target="https://doi.org/10.1111/nph.19130" TargetMode="External" /><Relationship Type="http://schemas.openxmlformats.org/officeDocument/2006/relationships/hyperlink" Id="rId64" Target="https://doi.org/10.1126/science.adv7597" TargetMode="External" /><Relationship Type="http://schemas.openxmlformats.org/officeDocument/2006/relationships/hyperlink" Id="rId125" Target="https://doi.org/10.1175/2009JCLI2909.1" TargetMode="External" /><Relationship Type="http://schemas.openxmlformats.org/officeDocument/2006/relationships/hyperlink" Id="rId50" Target="https://doi.org/10.18637/jss.v080.i01" TargetMode="External" /><Relationship Type="http://schemas.openxmlformats.org/officeDocument/2006/relationships/hyperlink" Id="rId109" Target="https://doi.org/10.32614/CRAN.package.pvldcurve" TargetMode="External" /><Relationship Type="http://schemas.openxmlformats.org/officeDocument/2006/relationships/hyperlink" Id="rId111" Target="https://doi.org/10.5194/cp-12-1889-2016" TargetMode="External" /><Relationship Type="http://schemas.openxmlformats.org/officeDocument/2006/relationships/hyperlink" Id="rId102" Target="https://doi.org/10.5194/essd-13-4349-2021"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2025-10-10T22:05:42Z</dcterms:created>
  <dcterms:modified xsi:type="dcterms:W3CDTF">2025-10-10T22:05:42Z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