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t xml:space="preserve"> </w:t>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t xml:space="preserve">RESPONSE:</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0">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t xml:space="preserve">RESPONSE:</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iCs/>
          <w:i/>
          <w:bCs/>
          <w:b/>
        </w:rPr>
        <w:t xml:space="preserve">Using the late wet/early dry dendrometer band censuses (centred around January), we calculated annualised growth for each tree and year from 2009 to 2022.</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iCs/>
          <w:i/>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TO CLARIFY IN TEXT</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comment. We have removed 2023 and 2024 from the x-axis. While we agree that there is a lot more to discuss and analyse from this figure, we wanted to be careful not to overinterpret the growth patterns without adequate analysis of other covariates. The pattern that you describe for the 2015 drought is interesting, but this is primarily because drought conditions were prolonged into 2016 - this was a multi-year drought - and the ENSO conditions switched only late in 2016, leading to a late monsoon. Our analysis does not have the power to analyse multi-year droughts separately from single year droughts, and therefore we chose not to analyse and interpret these cycles.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iCs/>
          <w:i/>
          <w:bCs/>
          <w:b/>
        </w:rPr>
        <w:t xml:space="preserve">Using the late wet/early dry dendrometer band censuses (centred around January), we calculated annualised growth for each tree and year from 2009 to 2022.</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t xml:space="preserve">RESPONSE:</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The timing of deciduousness may be an important factor to consider, however, from the data reported in Williams et al. (2008), leaf flush for most species is reported during the month after the spring equinox in late March, independent of the duration of leaflessness. Moreover, the timing of deciduousness can differ from year to year, and would require direct measurement at the tree to answer this interesting question.</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t xml:space="preserve">RESPONSE:</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t xml:space="preserve">RESPONSE: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2025-09-02T20:26:14Z</dcterms:created>
  <dcterms:modified xsi:type="dcterms:W3CDTF">2025-09-02T20:26:14Z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