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Drought response is not a species trait: tropical tree drought sensitivity is shaped by drought characteristics, species adaptations, and individual microenvironments</w:t>
      </w:r>
      <w:r>
        <w:t xml:space="preserve">”</w:t>
      </w:r>
      <w:r>
        <w:t xml:space="preserve"> </w:t>
      </w:r>
      <w:r>
        <w:t xml:space="preserve">(ELE-00826-2025) for consideration for publication in Ecology Letters.</w:t>
      </w:r>
      <w:r>
        <w:t xml:space="preserve"> </w:t>
      </w:r>
      <w:r>
        <w:t xml:space="preserve">We have addressed all points raised by the reviewers as detailed in our responses to the reviewers.</w:t>
      </w:r>
      <w:r>
        <w:t xml:space="preserve"> </w:t>
      </w:r>
      <w:r>
        <w:t xml:space="preserve">The most significant changes were discussing global implications as well as species effects in more detail.</w:t>
      </w:r>
      <w:r>
        <w:t xml:space="preserve"> </w:t>
      </w:r>
      <w:r>
        <w:t xml:space="preserve">We have also revised the methodology and results to highlight the correspondence between the predictions and the results.</w:t>
      </w:r>
      <w:r>
        <w:t xml:space="preserve"> </w:t>
      </w:r>
      <w:r>
        <w:t xml:space="preserve">We have also updated Figures 1 and 2 as well as the relevant figures in the supplementary material as requested by the reviewers.</w:t>
      </w:r>
      <w:r>
        <w:t xml:space="preserve"> </w:t>
      </w:r>
      <w:r>
        <w:t xml:space="preserve">Finally, following a friendly review by a collaborator, we also present an alternate, analogous set of causal inquiry models in the supplementary information that supports the conclusions in the main text.</w:t>
      </w:r>
    </w:p>
    <w:p>
      <w:pPr>
        <w:pStyle w:val="BodyText"/>
      </w:pPr>
      <w:r>
        <w:t xml:space="preserve">Thank you for considering this revised version for publication.</w:t>
      </w:r>
      <w:r>
        <w:t xml:space="preserve"> </w:t>
      </w:r>
      <w:r>
        <w:t xml:space="preserve">We look forward to your response.</w:t>
      </w:r>
    </w:p>
    <w:p>
      <w:pPr>
        <w:pStyle w:val="BodyText"/>
      </w:pPr>
      <w:r>
        <w:t xml:space="preserve">Sincerely,</w:t>
      </w:r>
      <w:r>
        <w:t xml:space="preserve"> </w:t>
      </w:r>
      <w:r>
        <w:t xml:space="preserve">On behalf of all coauthors,</w:t>
      </w:r>
      <w:r>
        <w:br/>
      </w:r>
      <w:r>
        <w:t xml:space="preserve">Krishna Anujan</w:t>
      </w:r>
    </w:p>
    <w:p>
      <w:r>
        <w:br w:type="page"/>
      </w:r>
    </w:p>
    <w:bookmarkStart w:id="31" w:name="referees-comments-to-the-authors"/>
    <w:p>
      <w:pPr>
        <w:pStyle w:val="Heading2"/>
      </w:pPr>
      <w:r>
        <w:rPr>
          <w:rStyle w:val="SectionNumber"/>
        </w:rPr>
        <w:t xml:space="preserve">0.1</w:t>
      </w:r>
      <w:r>
        <w:tab/>
      </w:r>
      <w:r>
        <w:t xml:space="preserve">Referees’ comments to the author(s):</w:t>
      </w:r>
    </w:p>
    <w:bookmarkStart w:id="30" w:name="referee-1"/>
    <w:p>
      <w:pPr>
        <w:pStyle w:val="Heading3"/>
      </w:pPr>
      <w:r>
        <w:rPr>
          <w:rStyle w:val="SectionNumber"/>
        </w:rPr>
        <w:t xml:space="preserve">0.1.1</w:t>
      </w:r>
      <w:r>
        <w:tab/>
      </w:r>
      <w:r>
        <w:t xml:space="preserve">Referee: 1</w:t>
      </w:r>
    </w:p>
    <w:p>
      <w:pPr>
        <w:pStyle w:val="FirstParagraph"/>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rPr>
          <w:bCs/>
          <w:b/>
        </w:rPr>
        <w:t xml:space="preserve">RESPONSE: Thanks for this comment. This is a great idea, and we would like to include this as well to provide further context to readers. Given that we are at the limit of display items in the main text, we have included this as Figure S1 in the supplementary material.</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(Figure S9)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rPr>
          <w:bCs/>
          <w:b/>
        </w:rPr>
        <w:t xml:space="preserve">RESPONSE: We have now carefully reviewed the text and rewritten the description of acronyms (TWI and CII) in the results section to make it clearer for readers.</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rPr>
          <w:bCs/>
          <w:b/>
        </w:rPr>
        <w:t xml:space="preserve">RESPONSE: Thanks for this suggestion. We have now revised the Results section to remove some redundant statistical details that are reported in figures. We have also reorganised some text so that the statements that correspond to each prediction are highlighted at the start of each section. We hope that the results and their alignment with the predictions are clearer now.</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bCs/>
          <w:b/>
        </w:rPr>
        <w:t xml:space="preserve">RESPONSE: Thanks for this suggestion. We were excited to see this global study published recently. We have now discussed our focused work in relation to this global study based on the alignment of the key message - the diversity of drought responses with drought types and species traits (deciduousness). However, dendroband datasets can be key to filling gaps in spatial and climatic coverage of tree rings records in the tropics (reviewed by</w:t>
      </w:r>
      <w:r>
        <w:rPr>
          <w:bCs/>
          <w:b/>
        </w:rPr>
        <w:t xml:space="preserve"> </w:t>
      </w:r>
      <w:r>
        <w:rPr>
          <w:bCs/>
          <w:b/>
        </w:rPr>
        <w:t xml:space="preserve">Groenendijk</w:t>
      </w:r>
      <w:r>
        <w:rPr>
          <w:bCs/>
          <w:b/>
        </w:rPr>
        <w:t xml:space="preserve"> </w:t>
      </w:r>
      <w:r>
        <w:rPr>
          <w:iCs/>
          <w:i/>
          <w:bCs/>
          <w:b/>
        </w:rPr>
        <w:t xml:space="preserve">et al.</w:t>
      </w:r>
      <w:r>
        <w:rPr>
          <w:bCs/>
          <w:b/>
        </w:rPr>
        <w:t xml:space="preserve"> </w:t>
      </w:r>
      <w:r>
        <w:rPr>
          <w:bCs/>
          <w:b/>
        </w:rPr>
        <w:t xml:space="preserve">(2025)</w:t>
      </w:r>
      <w:r>
        <w:rPr>
          <w:bCs/>
          <w:b/>
        </w:rPr>
        <w:t xml:space="preserve">). Moreover, our results showcasing response diversity among individuals within a species demonstrates an important caveat to aggregate/species-chronology-based inferences from tree-ring records.</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(Table S1) that details the response of specific species to specific drought events. This summary highlights our main message that the species responses are dissimilar across drought events. This table also includes available information on the IUCN categories of the species analysed (accessed in September 2025) where information was avaialable. Two of the species analysed are</w:t>
      </w:r>
      <w:r>
        <w:rPr>
          <w:bCs/>
          <w:b/>
        </w:rPr>
        <w:t xml:space="preserve"> </w:t>
      </w:r>
      <w:r>
        <w:rPr>
          <w:bCs/>
          <w:b/>
        </w:rPr>
        <w:t xml:space="preserve">“</w:t>
      </w:r>
      <w:r>
        <w:rPr>
          <w:bCs/>
          <w:b/>
        </w:rPr>
        <w:t xml:space="preserve">Endangered</w:t>
      </w:r>
      <w:r>
        <w:rPr>
          <w:bCs/>
          <w:b/>
        </w:rPr>
        <w:t xml:space="preserve">”</w:t>
      </w:r>
      <w:r>
        <w:rPr>
          <w:bCs/>
          <w:b/>
        </w:rPr>
        <w:t xml:space="preserve">, including</w:t>
      </w:r>
      <w:r>
        <w:rPr>
          <w:bCs/>
          <w:b/>
        </w:rPr>
        <w:t xml:space="preserve"> </w:t>
      </w:r>
      <w:r>
        <w:rPr>
          <w:iCs/>
          <w:i/>
          <w:bCs/>
          <w:b/>
        </w:rPr>
        <w:t xml:space="preserve">Afzelia xylocarpa</w:t>
      </w:r>
      <w:r>
        <w:rPr>
          <w:bCs/>
          <w:b/>
        </w:rPr>
        <w:t xml:space="preserve">, the species that was discussed. There are also</w:t>
      </w:r>
      <w:r>
        <w:rPr>
          <w:bCs/>
          <w:b/>
        </w:rPr>
        <w:t xml:space="preserve"> </w:t>
      </w:r>
      <w:r>
        <w:rPr>
          <w:bCs/>
          <w:b/>
        </w:rPr>
        <w:t xml:space="preserve">“</w:t>
      </w:r>
      <w:r>
        <w:rPr>
          <w:bCs/>
          <w:b/>
        </w:rPr>
        <w:t xml:space="preserve">Vulnerable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Data Deficient</w:t>
      </w:r>
      <w:r>
        <w:rPr>
          <w:bCs/>
          <w:b/>
        </w:rPr>
        <w:t xml:space="preserve">”</w:t>
      </w:r>
      <w:r>
        <w:rPr>
          <w:bCs/>
          <w:b/>
        </w:rPr>
        <w:t xml:space="preserve"> </w:t>
      </w:r>
      <w:r>
        <w:rPr>
          <w:bCs/>
          <w:b/>
        </w:rPr>
        <w:t xml:space="preserve">species in the list, some of which have consistent negative drought sensitivities. This table would therefore be useful for forest managers and conservation professionals and to guide species-specific research directions. We have also added a line highlighting the contrasts between species responses in the discussion, which now reads:</w:t>
      </w:r>
    </w:p>
    <w:p>
      <w:pPr>
        <w:pStyle w:val="BodyText"/>
      </w:pPr>
      <w:r>
        <w:rPr>
          <w:bCs/>
          <w:b/>
        </w:rPr>
        <w:t xml:space="preserve">L421-430:</w:t>
      </w:r>
      <w:r>
        <w:rPr>
          <w:bCs/>
          <w:b/>
        </w:rPr>
        <w:t xml:space="preserve"> </w:t>
      </w:r>
      <w:r>
        <w:rPr>
          <w:bCs/>
          <w:b/>
        </w:rPr>
        <w:t xml:space="preserve">“</w:t>
      </w:r>
      <w:r>
        <w:rPr>
          <w:bCs/>
          <w:b/>
        </w:rPr>
        <w:t xml:space="preserve">An important implication is that drought responses inferred from tree-ring records derived from the few species known to form reliable, dateable annual rings (n=4 at HKK;</w:t>
      </w:r>
      <w:r>
        <w:rPr>
          <w:bCs/>
          <w:b/>
        </w:rPr>
        <w:t xml:space="preserve"> </w:t>
      </w:r>
      <w:r>
        <w:rPr>
          <w:bCs/>
          <w:b/>
        </w:rPr>
        <w:t xml:space="preserve">Vlam</w:t>
      </w:r>
      <w:r>
        <w:rPr>
          <w:bCs/>
          <w:b/>
        </w:rPr>
        <w:t xml:space="preserve"> </w:t>
      </w:r>
      <w:r>
        <w:rPr>
          <w:iCs/>
          <w:i/>
          <w:bCs/>
          <w:b/>
        </w:rPr>
        <w:t xml:space="preserve">et al.</w:t>
      </w:r>
      <w:r>
        <w:rPr>
          <w:bCs/>
          <w:b/>
        </w:rPr>
        <w:t xml:space="preserve"> </w:t>
      </w:r>
      <w:r>
        <w:rPr>
          <w:bCs/>
          <w:b/>
        </w:rPr>
        <w:t xml:space="preserve">(2014)</w:t>
      </w:r>
      <w:r>
        <w:rPr>
          <w:bCs/>
          <w:b/>
        </w:rPr>
        <w:t xml:space="preserve">) are unlikely to be representative of the drought responses of the entire community.</w:t>
      </w:r>
      <w:r>
        <w:rPr>
          <w:bCs/>
          <w:b/>
        </w:rPr>
        <w:t xml:space="preserve"> </w:t>
      </w:r>
      <w:r>
        <w:rPr>
          <w:bCs/>
          <w:b/>
        </w:rPr>
        <w:t xml:space="preserve">For example, one of the few annual-ring-forming species at HKK, deciduous</w:t>
      </w:r>
      <w:r>
        <w:rPr>
          <w:bCs/>
          <w:b/>
        </w:rPr>
        <w:t xml:space="preserve"> </w:t>
      </w:r>
      <w:r>
        <w:rPr>
          <w:iCs/>
          <w:i/>
          <w:bCs/>
          <w:b/>
        </w:rPr>
        <w:t xml:space="preserve">Afzelia xylocarpa</w:t>
      </w:r>
      <w:r>
        <w:rPr>
          <w:bCs/>
          <w:b/>
        </w:rPr>
        <w:t xml:space="preserve">, had the most distinct response across the three events; it’s growth nearly doubled in the 2010 and 2020 droughts but was severely reduced in the wet-season drought (Fig. S5, Table S1).</w:t>
      </w:r>
      <w:r>
        <w:rPr>
          <w:bCs/>
          <w:b/>
        </w:rPr>
        <w:t xml:space="preserve"> </w:t>
      </w:r>
      <w:r>
        <w:rPr>
          <w:bCs/>
          <w:b/>
        </w:rPr>
        <w:t xml:space="preserve">Extrapolating from such dendrochronological data, therefore, could lead to important errors if attributed to other species, potentially misrepresenting drought impacts conservation or silviculture, e.g. </w:t>
      </w:r>
      <w:r>
        <w:rPr>
          <w:iCs/>
          <w:i/>
          <w:bCs/>
          <w:b/>
        </w:rPr>
        <w:t xml:space="preserve">Dipterocarpus alatus</w:t>
      </w:r>
      <w:r>
        <w:rPr>
          <w:bCs/>
          <w:b/>
        </w:rPr>
        <w:t xml:space="preserve">, a conservation and commercial priority species, presents a different drought response (Table S1).</w:t>
      </w:r>
      <w:r>
        <w:rPr>
          <w:bCs/>
          <w:b/>
        </w:rPr>
        <w:t xml:space="preserve">”</w:t>
      </w:r>
    </w:p>
    <w:p>
      <w:pPr>
        <w:pStyle w:val="BodyText"/>
      </w:pPr>
      <w:r>
        <w:rPr>
          <w:bCs/>
          <w:b/>
        </w:rPr>
        <w:t xml:space="preserve">As to why different species might be responding differently, a key difference could be their evolutionary strategies along hydraulic safety vs. efficiency.</w:t>
      </w:r>
      <w:r>
        <w:rPr>
          <w:bCs/>
          <w:b/>
        </w:rPr>
        <w:t xml:space="preserve"> </w:t>
      </w:r>
      <w:r>
        <w:rPr>
          <w:bCs/>
          <w:b/>
        </w:rPr>
        <w:t xml:space="preserve">We have discussed our results in light of deciduousness as an example.</w:t>
      </w:r>
      <w:r>
        <w:rPr>
          <w:bCs/>
          <w:b/>
        </w:rPr>
        <w:t xml:space="preserve"> </w:t>
      </w:r>
      <w:r>
        <w:rPr>
          <w:bCs/>
          <w:b/>
        </w:rPr>
        <w:t xml:space="preserve">However, we recognise that many other above and belowground traits may contribute to these differences and need to examined further.</w:t>
      </w:r>
      <w:r>
        <w:rPr>
          <w:bCs/>
          <w:b/>
        </w:rPr>
        <w:t xml:space="preserve"> </w:t>
      </w:r>
      <w:r>
        <w:rPr>
          <w:bCs/>
          <w:b/>
        </w:rPr>
        <w:t xml:space="preserve">We have edited text in the discussion to read:</w:t>
      </w:r>
    </w:p>
    <w:p>
      <w:pPr>
        <w:pStyle w:val="BodyText"/>
      </w:pPr>
      <w:r>
        <w:rPr>
          <w:bCs/>
          <w:b/>
        </w:rPr>
        <w:t xml:space="preserve">L400-404:</w:t>
      </w:r>
      <w:r>
        <w:rPr>
          <w:bCs/>
          <w:b/>
        </w:rPr>
        <w:t xml:space="preserve"> </w:t>
      </w:r>
      <w:r>
        <w:rPr>
          <w:bCs/>
          <w:b/>
        </w:rPr>
        <w:t xml:space="preserve">“</w:t>
      </w:r>
      <w:r>
        <w:rPr>
          <w:bCs/>
          <w:b/>
        </w:rPr>
        <w:t xml:space="preserve">Paralleling the rarity of long-term records of annual tree growth in less seasonal tropical forests</w:t>
      </w:r>
      <w:r>
        <w:rPr>
          <w:bCs/>
          <w:b/>
        </w:rPr>
        <w:t xml:space="preserve"> </w:t>
      </w:r>
      <w:r>
        <w:rPr>
          <w:bCs/>
          <w:b/>
        </w:rPr>
        <w:t xml:space="preserve">(Zuidema</w:t>
      </w:r>
      <w:r>
        <w:rPr>
          <w:bCs/>
          <w:b/>
        </w:rPr>
        <w:t xml:space="preserve"> </w:t>
      </w:r>
      <w:r>
        <w:rPr>
          <w:iCs/>
          <w:i/>
          <w:bCs/>
          <w:b/>
        </w:rPr>
        <w:t xml:space="preserve">et al.</w:t>
      </w:r>
      <w:r>
        <w:rPr>
          <w:bCs/>
          <w:b/>
        </w:rPr>
        <w:t xml:space="preserve"> </w:t>
      </w:r>
      <w:r>
        <w:rPr>
          <w:bCs/>
          <w:b/>
        </w:rPr>
        <w:t xml:space="preserve">2022)</w:t>
      </w:r>
      <w:r>
        <w:rPr>
          <w:bCs/>
          <w:b/>
        </w:rPr>
        <w:t xml:space="preserve">, we know exceedingly little about how tropical tree species with different above- and below-ground traits along the hydraulic safety-efficiency spectrum respond to different types of drought, and how these responses may be modified by microenvironments.</w:t>
      </w:r>
      <w:r>
        <w:rPr>
          <w:bCs/>
          <w:b/>
        </w:rPr>
        <w:t xml:space="preserv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rPr>
          <w:bCs/>
          <w:b/>
        </w:rPr>
        <w:t xml:space="preserve">RESPONSE: Thanks for this suggestion. Our conclusion here was based on the fact that both species and individuals within species (spatial) seem to have little similarity in their responses to different droughts. At the community/stand level, these could be either because of adaptive differences among species or environmental differences among sites that interact with different drought types. Upon further discussion, we think that the term</w:t>
      </w:r>
      <w:r>
        <w:rPr>
          <w:bCs/>
          <w:b/>
        </w:rPr>
        <w:t xml:space="preserve"> </w:t>
      </w:r>
      <w:r>
        <w:rPr>
          <w:bCs/>
          <w:b/>
        </w:rPr>
        <w:t xml:space="preserve">“</w:t>
      </w:r>
      <w:r>
        <w:rPr>
          <w:bCs/>
          <w:b/>
        </w:rPr>
        <w:t xml:space="preserve">biological insurance</w:t>
      </w:r>
      <w:r>
        <w:rPr>
          <w:bCs/>
          <w:b/>
        </w:rPr>
        <w:t xml:space="preserve">”</w:t>
      </w:r>
      <w:r>
        <w:rPr>
          <w:bCs/>
          <w:b/>
        </w:rPr>
        <w:t xml:space="preserve"> </w:t>
      </w:r>
      <w:r>
        <w:rPr>
          <w:bCs/>
          <w:b/>
        </w:rPr>
        <w:t xml:space="preserve">(</w:t>
      </w:r>
      <w:r>
        <w:rPr>
          <w:iCs/>
          <w:i/>
          <w:bCs/>
          <w:b/>
        </w:rPr>
        <w:t xml:space="preserve">sensu</w:t>
      </w:r>
      <w:r>
        <w:rPr>
          <w:bCs/>
          <w:b/>
        </w:rPr>
        <w:t xml:space="preserve"> </w:t>
      </w:r>
      <w:r>
        <w:rPr>
          <w:bCs/>
          <w:b/>
        </w:rPr>
        <w:t xml:space="preserve">Loreau</w:t>
      </w:r>
      <w:r>
        <w:rPr>
          <w:bCs/>
          <w:b/>
        </w:rPr>
        <w:t xml:space="preserve"> </w:t>
      </w:r>
      <w:r>
        <w:rPr>
          <w:iCs/>
          <w:i/>
          <w:bCs/>
          <w:b/>
        </w:rPr>
        <w:t xml:space="preserve">et al.</w:t>
      </w:r>
      <w:r>
        <w:rPr>
          <w:bCs/>
          <w:b/>
        </w:rPr>
        <w:t xml:space="preserve"> </w:t>
      </w:r>
      <w:r>
        <w:rPr>
          <w:bCs/>
          <w:b/>
        </w:rPr>
        <w:t xml:space="preserve">(2021)</w:t>
      </w:r>
      <w:r>
        <w:rPr>
          <w:bCs/>
          <w:b/>
        </w:rPr>
        <w:t xml:space="preserve">) may be more appropriate here given its more general definition and inclusion of both species and spatial concepts of insurance. We have now revised the usage of this term in the manuscript and included a reference to this framework.</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 are summarised in Table 1. In summary, 2010 was a moderate drought that peaked in the dry season, 2015 was a severe drought that peaked in the wet season and 2020 was a moderate drought that peaked in the transition from dry to wet season. After moving the drought descriptions to the methods section, we have added this summary to set context for the results section.</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bCs/>
          <w:b/>
        </w:rPr>
        <w:t xml:space="preserve">RESPONSE: We agree the wording could be clearer. Our focus is on how growth sensitivity changes with crown exposure.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We have now clarified this in the text which now reads:</w:t>
      </w:r>
    </w:p>
    <w:p>
      <w:pPr>
        <w:pStyle w:val="BodyText"/>
      </w:pPr>
      <w:r>
        <w:rPr>
          <w:bCs/>
          <w:b/>
        </w:rPr>
        <w:t xml:space="preserve">L340:</w:t>
      </w:r>
      <w:r>
        <w:rPr>
          <w:bCs/>
          <w:b/>
        </w:rPr>
        <w:t xml:space="preserve"> </w:t>
      </w:r>
      <w:r>
        <w:rPr>
          <w:bCs/>
          <w:b/>
        </w:rPr>
        <w:t xml:space="preserve">“</w:t>
      </w:r>
      <w:r>
        <w:rPr>
          <w:bCs/>
          <w:b/>
        </w:rPr>
        <w:t xml:space="preserve">Predicted effects of CII on sensitivity decreased monotonically, with strong decreases in 2010, weak decrease in 2015, and no effect in 2020.</w:t>
      </w:r>
      <w:r>
        <w:rPr>
          <w:bCs/>
          <w:b/>
        </w:rPr>
        <w:t xml:space="preserv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bCs/>
          <w:b/>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extended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bCs/>
          <w:b/>
        </w:rPr>
        <w:t xml:space="preserve">RESPONSE: Thanks for this interesting comment. We agree that there are several hydraulic strategies both above and belowground that might impact tree growth sensitivity to drought. We chose degree of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 but added Friedman’s SuperSmoother fits for all plots to visually demonstrate the direction of the relationship.</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bookmarkEnd w:id="30"/>
    <w:bookmarkEnd w:id="31"/>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2025-10-10T21:54:23Z</dcterms:created>
  <dcterms:modified xsi:type="dcterms:W3CDTF">2025-10-10T21:54:23Z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