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Technical workflow for near real-time reporting of forest census results</w:t>
      </w:r>
    </w:p>
    <w:p>
      <w:pPr>
        <w:pStyle w:val="BodyText"/>
      </w:pPr>
      <w:r>
        <w:rPr>
          <w:bCs/>
          <w:b/>
        </w:rPr>
        <w:t xml:space="preserve">Authors (tentative / incomplete list, not in order):</w:t>
      </w:r>
    </w:p>
    <w:p>
      <w:pPr>
        <w:pStyle w:val="BodyText"/>
      </w:pPr>
      <w:r>
        <w:t xml:space="preserve">David Mitre</w:t>
      </w:r>
    </w:p>
    <w:p>
      <w:pPr>
        <w:pStyle w:val="BodyText"/>
      </w:pPr>
      <w:r>
        <w:t xml:space="preserve">Valentine Herrmann</w:t>
      </w:r>
      <w:r>
        <w:rPr>
          <w:vertAlign w:val="superscript"/>
        </w:rPr>
        <w:t xml:space="preserve">1</w:t>
      </w:r>
      <w:r>
        <w:t xml:space="preserve"> </w:t>
      </w:r>
      <w:r>
        <w:t xml:space="preserve">( Orcid ID : 0000-0002-4519-481X)</w:t>
      </w:r>
    </w:p>
    <w:p>
      <w:pPr>
        <w:pStyle w:val="BodyText"/>
      </w:pPr>
      <w:r>
        <w:t xml:space="preserve">Jess Shue</w:t>
      </w:r>
    </w:p>
    <w:p>
      <w:pPr>
        <w:pStyle w:val="BodyText"/>
      </w:pPr>
      <w:r>
        <w:t xml:space="preserve">Krystal Bagnaschi</w:t>
      </w:r>
    </w:p>
    <w:p>
      <w:pPr>
        <w:pStyle w:val="BodyText"/>
      </w:pPr>
      <w:r>
        <w:t xml:space="preserve">Rachel Hoffman</w:t>
      </w:r>
    </w:p>
    <w:p>
      <w:pPr>
        <w:pStyle w:val="BodyText"/>
      </w:pPr>
      <w:r>
        <w:t xml:space="preserve">Iris Kennedy</w:t>
      </w:r>
    </w:p>
    <w:p>
      <w:pPr>
        <w:pStyle w:val="BodyText"/>
      </w:pPr>
      <w:r>
        <w:t xml:space="preserve">Erin MacMonigle</w:t>
      </w:r>
    </w:p>
    <w:p>
      <w:pPr>
        <w:pStyle w:val="BodyText"/>
      </w:pPr>
      <w:r>
        <w:t xml:space="preserve">Caroline Troy</w:t>
      </w:r>
    </w:p>
    <w:p>
      <w:pPr>
        <w:pStyle w:val="BodyText"/>
      </w:pPr>
      <w:r>
        <w:t xml:space="preserve">Luca Morreale</w:t>
      </w:r>
    </w:p>
    <w:p>
      <w:pPr>
        <w:pStyle w:val="BodyText"/>
      </w:pPr>
      <w:r>
        <w:t xml:space="preserve">Albert Kim</w:t>
      </w:r>
    </w:p>
    <w:p>
      <w:pPr>
        <w:pStyle w:val="BodyText"/>
      </w:pPr>
      <w:r>
        <w:t xml:space="preserve">Lukas Magee</w:t>
      </w:r>
    </w:p>
    <w:p>
      <w:pPr>
        <w:pStyle w:val="BodyText"/>
      </w:pPr>
      <w:r>
        <w:t xml:space="preserve">Amy Wolf</w:t>
      </w:r>
    </w:p>
    <w:p>
      <w:pPr>
        <w:pStyle w:val="BodyText"/>
      </w:pPr>
      <w:r>
        <w:t xml:space="preserve">Daniel Zuleta</w:t>
      </w:r>
    </w:p>
    <w:p>
      <w:pPr>
        <w:pStyle w:val="BodyText"/>
      </w:pPr>
      <w:r>
        <w:t xml:space="preserve">Stuart Davies?</w:t>
      </w:r>
    </w:p>
    <w:p>
      <w:pPr>
        <w:pStyle w:val="BodyText"/>
      </w:pPr>
      <w:r>
        <w:t xml:space="preserve">(others)</w:t>
      </w:r>
    </w:p>
    <w:p>
      <w:pPr>
        <w:pStyle w:val="BodyText"/>
      </w:pPr>
      <w:r>
        <w:t xml:space="preserve">William McShea</w:t>
      </w:r>
    </w:p>
    <w:p>
      <w:pPr>
        <w:pStyle w:val="BodyText"/>
      </w:pPr>
      <w:r>
        <w:t xml:space="preserve">Kristina J. Anderson-Teixeira</w:t>
      </w:r>
      <w:r>
        <w:rPr>
          <w:vertAlign w:val="superscript"/>
        </w:rPr>
        <w:t xml:space="preserve">1,2</w:t>
      </w:r>
      <w:r>
        <w:t xml:space="preserve">* ( Orcid ID : 0000-0001-8461-9713)</w:t>
      </w:r>
    </w:p>
    <w:p>
      <w:pPr>
        <w:pStyle w:val="BodyText"/>
      </w:pPr>
      <w:r>
        <w:rPr>
          <w:bCs/>
          <w:b/>
        </w:rPr>
        <w:t xml:space="preserve">Author Affiliations:</w:t>
      </w:r>
    </w:p>
    <w:p>
      <w:pPr>
        <w:numPr>
          <w:ilvl w:val="0"/>
          <w:numId w:val="1001"/>
        </w:numPr>
      </w:pPr>
      <w:r>
        <w:t xml:space="preserve">Conservation Ecology Center; Smithsonian’s National Zoo &amp; Conservation Biology Institute; Front Royal, Virginia 22630, USA</w:t>
      </w:r>
    </w:p>
    <w:p>
      <w:pPr>
        <w:numPr>
          <w:ilvl w:val="0"/>
          <w:numId w:val="1001"/>
        </w:numPr>
      </w:pPr>
      <w:r>
        <w:t xml:space="preserve">Forest Global Earth Observatory, Smithsonian Tropical Research Institute, Apartado Postal 0843-03092, Panama City,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pPr>
        <w:pStyle w:val="BodyText"/>
      </w:pPr>
      <w:r>
        <w:rPr>
          <w:bCs/>
          <w:b/>
        </w:rPr>
        <w:t xml:space="preserve">Running head:</w:t>
      </w:r>
      <w:r>
        <w:t xml:space="preserve"> </w:t>
      </w:r>
    </w:p>
    <w:p>
      <w:r>
        <w:br w:type="page"/>
      </w:r>
    </w:p>
    <w:bookmarkStart w:id="21" w:name="Abstract"/>
    <w:p>
      <w:pPr>
        <w:pStyle w:val="Heading1"/>
      </w:pPr>
      <w:r>
        <w:t xml:space="preserve">Abstract</w:t>
      </w:r>
    </w:p>
    <w:p>
      <w:pPr>
        <w:pStyle w:val="FirstParagraph"/>
      </w:pPr>
      <w:r>
        <w:rPr>
          <w:bCs/>
          <w:b/>
        </w:rPr>
        <w:t xml:space="preserve">Keywords</w:t>
      </w:r>
      <w:r>
        <w:t xml:space="preserve">:</w:t>
      </w:r>
      <w:r>
        <w:t xml:space="preserve"> </w:t>
      </w:r>
    </w:p>
    <w:p>
      <w:r>
        <w:br w:type="page"/>
      </w:r>
    </w:p>
    <w:bookmarkEnd w:id="21"/>
    <w:bookmarkStart w:id="25" w:name="introduction"/>
    <w:p>
      <w:pPr>
        <w:pStyle w:val="Heading1"/>
      </w:pPr>
      <w:r>
        <w:rPr>
          <w:rStyle w:val="SectionNumber"/>
        </w:rPr>
        <w:t xml:space="preserve">1</w:t>
      </w:r>
      <w:r>
        <w:tab/>
      </w:r>
      <w:r>
        <w:t xml:space="preserve">Introduction</w:t>
      </w:r>
    </w:p>
    <w:p>
      <w:pPr>
        <w:pStyle w:val="FirstParagraph"/>
      </w:pPr>
      <w:r>
        <w:rPr>
          <w:iCs/>
          <w:i/>
        </w:rPr>
        <w:t xml:space="preserve">Par. 1: Forests are important for climate regulation and support of biodiversity (UN goals). Therefore we need quality, up-to-date data on forest C and biodiversity.</w:t>
      </w:r>
    </w:p>
    <w:p>
      <w:pPr>
        <w:pStyle w:val="BodyText"/>
      </w:pPr>
      <w:r>
        <w:rPr>
          <w:iCs/>
          <w:i/>
        </w:rPr>
        <w:t xml:space="preserve">Par. 2: While remote sensing is vital to mapping forest biomass and diversity globally, ground-based censuses are essential for calibrating/ interpreting satellite data. In short, ground-based censuses are vital to quantifying forest C, diversity, and trends therein.</w:t>
      </w:r>
    </w:p>
    <w:p>
      <w:pPr>
        <w:pStyle w:val="BodyText"/>
      </w:pPr>
      <w:r>
        <w:rPr>
          <w:iCs/>
          <w:i/>
        </w:rPr>
        <w:t xml:space="preserve">Par. 3: Yet, collection of accurate census data is not trivial. (challenges include developing a good, efficient system for recording data and time lags in checking data)</w:t>
      </w:r>
    </w:p>
    <w:p>
      <w:pPr>
        <w:pStyle w:val="BodyText"/>
      </w:pPr>
      <w:r>
        <w:rPr>
          <w:iCs/>
          <w:i/>
        </w:rPr>
        <w:t xml:space="preserve">Par 4: To address these challenges, we have developed a workflow for data collection, quality control, and automated production and publication of results. This is developed at ForestGEO sites</w:t>
      </w:r>
      <w:r>
        <w:rPr>
          <w:iCs/>
          <w:i/>
        </w:rPr>
        <w:t xml:space="preserve"> </w:t>
      </w:r>
      <w:r>
        <w:rPr>
          <w:iCs/>
          <w:i/>
        </w:rPr>
        <w:t xml:space="preserve">(Anderson-Teixeira et al., 2015; Davies et al., 2021)</w:t>
      </w:r>
      <w:r>
        <w:rPr>
          <w:iCs/>
          <w:i/>
        </w:rPr>
        <w:t xml:space="preserve">, but applicable to any forest census.</w:t>
      </w:r>
      <w:r>
        <w:rPr>
          <w:iCs/>
          <w:i/>
        </w:rPr>
        <w:t xml:space="preserve"> </w:t>
      </w:r>
    </w:p>
    <w:p>
      <w:pPr>
        <w:pStyle w:val="CaptionedFigure"/>
      </w:pPr>
      <w:r>
        <w:drawing>
          <wp:inline>
            <wp:extent cx="5943600" cy="6604000"/>
            <wp:effectExtent b="0" l="0" r="0" t="0"/>
            <wp:docPr descr="Figure 1. Workflow Diagram. (Blue arrows indicate iterative process that is completed until the data set is found to be error free.)" title="" id="23" name="Picture"/>
            <a:graphic>
              <a:graphicData uri="http://schemas.openxmlformats.org/drawingml/2006/picture">
                <pic:pic>
                  <pic:nvPicPr>
                    <pic:cNvPr descr="display/workflow_diagram.png" id="24" name="Picture"/>
                    <pic:cNvPicPr>
                      <a:picLocks noChangeArrowheads="1" noChangeAspect="1"/>
                    </pic:cNvPicPr>
                  </pic:nvPicPr>
                  <pic:blipFill>
                    <a:blip r:embed="rId22"/>
                    <a:stretch>
                      <a:fillRect/>
                    </a:stretch>
                  </pic:blipFill>
                  <pic:spPr bwMode="auto">
                    <a:xfrm>
                      <a:off x="0" y="0"/>
                      <a:ext cx="5943600" cy="6604000"/>
                    </a:xfrm>
                    <a:prstGeom prst="rect">
                      <a:avLst/>
                    </a:prstGeom>
                    <a:noFill/>
                    <a:ln w="9525">
                      <a:noFill/>
                      <a:headEnd/>
                      <a:tailEnd/>
                    </a:ln>
                  </pic:spPr>
                </pic:pic>
              </a:graphicData>
            </a:graphic>
          </wp:inline>
        </w:drawing>
      </w:r>
    </w:p>
    <w:p>
      <w:pPr>
        <w:pStyle w:val="ImageCaption"/>
      </w:pPr>
      <w:r>
        <w:rPr>
          <w:bCs/>
          <w:b/>
        </w:rPr>
        <w:t xml:space="preserve">Figure 1. Workflow Diagram.</w:t>
      </w:r>
      <w:r>
        <w:t xml:space="preserve"> </w:t>
      </w:r>
      <w:r>
        <w:t xml:space="preserve">(Blue arrows indicate iterative process that is completed until the data set is found to be error free.)</w:t>
      </w:r>
    </w:p>
    <w:bookmarkEnd w:id="25"/>
    <w:bookmarkStart w:id="35" w:name="materials-and-methods"/>
    <w:p>
      <w:pPr>
        <w:pStyle w:val="Heading1"/>
      </w:pPr>
      <w:r>
        <w:rPr>
          <w:rStyle w:val="SectionNumber"/>
        </w:rPr>
        <w:t xml:space="preserve">2</w:t>
      </w:r>
      <w:r>
        <w:tab/>
      </w:r>
      <w:r>
        <w:t xml:space="preserve">Materials and Methods</w:t>
      </w:r>
    </w:p>
    <w:p>
      <w:pPr>
        <w:pStyle w:val="FirstParagraph"/>
      </w:pPr>
      <w:r>
        <w:t xml:space="preserve">We prototyped the system described here– either in full or in part – at</w:t>
      </w:r>
      <w:r>
        <w:t xml:space="preserve"> </w:t>
      </w:r>
      <w:r>
        <w:rPr>
          <w:bCs/>
          <w:b/>
        </w:rPr>
        <w:t xml:space="preserve">##</w:t>
      </w:r>
      <w:r>
        <w:t xml:space="preserve"> </w:t>
      </w:r>
      <w:r>
        <w:t xml:space="preserve">ForestGEO sites representative of a range of conditions under which data are collected across forest research sites.</w:t>
      </w:r>
      <w:r>
        <w:t xml:space="preserve"> </w:t>
      </w:r>
      <w:r>
        <w:rPr>
          <w:iCs/>
          <w:i/>
        </w:rPr>
        <w:t xml:space="preserve">(describe all sites, perhaps include a table</w:t>
      </w:r>
      <w:r>
        <w:t xml:space="preserve">)</w:t>
      </w:r>
    </w:p>
    <w:bookmarkStart w:id="29" w:name="X057b17aa77b106c240f4202dd257be5f583e5cd"/>
    <w:p>
      <w:pPr>
        <w:pStyle w:val="Heading2"/>
      </w:pPr>
      <w:r>
        <w:rPr>
          <w:rStyle w:val="SectionNumber"/>
        </w:rPr>
        <w:t xml:space="preserve">2.1</w:t>
      </w:r>
      <w:r>
        <w:tab/>
      </w:r>
      <w:r>
        <w:t xml:space="preserve">Step 1: Production of Digital Data Records from Field Census</w:t>
      </w:r>
    </w:p>
    <w:p>
      <w:pPr>
        <w:pStyle w:val="FirstParagraph"/>
      </w:pPr>
      <w:r>
        <w:t xml:space="preserve">Data were collected via a variety of mechanisms, ultimately leading to digital data files.</w:t>
      </w:r>
      <w:r>
        <w:t xml:space="preserve"> </w:t>
      </w:r>
      <w:r>
        <w:t xml:space="preserve">Here, we applied three different methods for censuses at ForestGEO plots.</w:t>
      </w:r>
    </w:p>
    <w:bookmarkStart w:id="26" w:name="arcgis-app"/>
    <w:p>
      <w:pPr>
        <w:pStyle w:val="Heading3"/>
      </w:pPr>
      <w:r>
        <w:rPr>
          <w:rStyle w:val="SectionNumber"/>
        </w:rPr>
        <w:t xml:space="preserve">2.1.1</w:t>
      </w:r>
      <w:r>
        <w:tab/>
      </w:r>
      <w:r>
        <w:t xml:space="preserve">ArcGIS App</w:t>
      </w:r>
    </w:p>
    <w:p>
      <w:pPr>
        <w:pStyle w:val="FirstParagraph"/>
      </w:pPr>
      <w:r>
        <w:t xml:space="preserve">Examples: BCI, SCBI</w:t>
      </w:r>
    </w:p>
    <w:p>
      <w:pPr>
        <w:pStyle w:val="BodyText"/>
      </w:pPr>
      <w:r>
        <w:rPr>
          <w:iCs/>
          <w:i/>
        </w:rPr>
        <w:t xml:space="preserve">Figure 2: screenshots of app, including examples from both BCI and SCBI</w:t>
      </w:r>
    </w:p>
    <w:bookmarkEnd w:id="26"/>
    <w:bookmarkStart w:id="27" w:name="fast-field-forms-app"/>
    <w:p>
      <w:pPr>
        <w:pStyle w:val="Heading3"/>
      </w:pPr>
      <w:r>
        <w:rPr>
          <w:rStyle w:val="SectionNumber"/>
        </w:rPr>
        <w:t xml:space="preserve">2.1.2</w:t>
      </w:r>
      <w:r>
        <w:tab/>
      </w:r>
      <w:r>
        <w:t xml:space="preserve">Fast Field Forms App</w:t>
      </w:r>
    </w:p>
    <w:p>
      <w:pPr>
        <w:pStyle w:val="FirstParagraph"/>
      </w:pPr>
      <w:r>
        <w:t xml:space="preserve">Examples (potential): Wabikon, Tyson, and Lilly Dickey (2022)</w:t>
      </w:r>
    </w:p>
    <w:p>
      <w:pPr>
        <w:pStyle w:val="BodyText"/>
      </w:pPr>
      <w:r>
        <w:rPr>
          <w:iCs/>
          <w:i/>
        </w:rPr>
        <w:t xml:space="preserve">Figure?: screenshots of app</w:t>
      </w:r>
    </w:p>
    <w:bookmarkEnd w:id="27"/>
    <w:bookmarkStart w:id="28" w:name="paper-records"/>
    <w:p>
      <w:pPr>
        <w:pStyle w:val="Heading3"/>
      </w:pPr>
      <w:r>
        <w:rPr>
          <w:rStyle w:val="SectionNumber"/>
        </w:rPr>
        <w:t xml:space="preserve">2.1.3</w:t>
      </w:r>
      <w:r>
        <w:tab/>
      </w:r>
      <w:r>
        <w:t xml:space="preserve">Paper Records</w:t>
      </w:r>
    </w:p>
    <w:p>
      <w:pPr>
        <w:pStyle w:val="FirstParagraph"/>
      </w:pPr>
      <w:r>
        <w:t xml:space="preserve">Example: Amacayacu</w:t>
      </w:r>
    </w:p>
    <w:p>
      <w:pPr>
        <w:pStyle w:val="BodyText"/>
      </w:pPr>
      <w:r>
        <w:t xml:space="preserve">At Amacayacu, paper records were collected in the [YEAR] census.</w:t>
      </w:r>
      <w:r>
        <w:t xml:space="preserve"> </w:t>
      </w:r>
      <w:r>
        <w:t xml:space="preserve">Data were digitized (entered into spreadsheets) every weekend.</w:t>
      </w:r>
      <w:r>
        <w:t xml:space="preserve"> </w:t>
      </w:r>
      <w:r>
        <w:t xml:space="preserve">Here, to provide an example of how this system can work with paper data collection, we analyzed digital records as collected in the field (no corrections applied).</w:t>
      </w:r>
    </w:p>
    <w:bookmarkEnd w:id="28"/>
    <w:bookmarkEnd w:id="29"/>
    <w:bookmarkStart w:id="34" w:name="X24a889345424732da065e22e033b74c23d974f3"/>
    <w:p>
      <w:pPr>
        <w:pStyle w:val="Heading2"/>
      </w:pPr>
      <w:r>
        <w:rPr>
          <w:rStyle w:val="SectionNumber"/>
        </w:rPr>
        <w:t xml:space="preserve">2.2</w:t>
      </w:r>
      <w:r>
        <w:tab/>
      </w:r>
      <w:r>
        <w:t xml:space="preserve">Step 2: Automated Data Processing via GitHub Actions</w:t>
      </w:r>
    </w:p>
    <w:p>
      <w:pPr>
        <w:pStyle w:val="FirstParagraph"/>
      </w:pPr>
      <w:r>
        <w:rPr>
          <w:iCs/>
          <w:i/>
        </w:rPr>
        <w:t xml:space="preserve">(GitHub is excellent for scientific data management, including automated processing)</w:t>
      </w:r>
      <w:r>
        <w:t xml:space="preserve"> </w:t>
      </w:r>
      <w:r>
        <w:t xml:space="preserve">(Kim et al., 2022;</w:t>
      </w:r>
      <w:r>
        <w:t xml:space="preserve"> </w:t>
      </w:r>
      <w:r>
        <w:rPr>
          <w:bCs/>
          <w:b/>
        </w:rPr>
        <w:t xml:space="preserve">braga_not_2023?</w:t>
      </w:r>
      <w:r>
        <w:t xml:space="preserve">)</w:t>
      </w:r>
    </w:p>
    <w:bookmarkStart w:id="30" w:name="data-qaqc"/>
    <w:p>
      <w:pPr>
        <w:pStyle w:val="Heading3"/>
      </w:pPr>
      <w:r>
        <w:rPr>
          <w:rStyle w:val="SectionNumber"/>
        </w:rPr>
        <w:t xml:space="preserve">2.2.1</w:t>
      </w:r>
      <w:r>
        <w:tab/>
      </w:r>
      <w:r>
        <w:t xml:space="preserve">Data QA/QC</w:t>
      </w:r>
    </w:p>
    <w:bookmarkEnd w:id="30"/>
    <w:bookmarkStart w:id="31" w:name="biological-results"/>
    <w:p>
      <w:pPr>
        <w:pStyle w:val="Heading3"/>
      </w:pPr>
      <w:r>
        <w:rPr>
          <w:rStyle w:val="SectionNumber"/>
        </w:rPr>
        <w:t xml:space="preserve">2.2.2</w:t>
      </w:r>
      <w:r>
        <w:tab/>
      </w:r>
      <w:r>
        <w:t xml:space="preserve">Biological Results</w:t>
      </w:r>
    </w:p>
    <w:p>
      <w:pPr>
        <w:pStyle w:val="FirstParagraph"/>
      </w:pPr>
      <w:r>
        <w:t xml:space="preserve">Generate maps &amp; .csv files for each of the following (by quadrat, as soon as each quadrat is completed and found to be error-free):</w:t>
      </w:r>
    </w:p>
    <w:p>
      <w:pPr>
        <w:numPr>
          <w:ilvl w:val="0"/>
          <w:numId w:val="1002"/>
        </w:numPr>
        <w:pStyle w:val="Compact"/>
      </w:pPr>
      <w:r>
        <w:t xml:space="preserve">n stems</w:t>
      </w:r>
    </w:p>
    <w:p>
      <w:pPr>
        <w:numPr>
          <w:ilvl w:val="0"/>
          <w:numId w:val="1002"/>
        </w:numPr>
        <w:pStyle w:val="Compact"/>
      </w:pPr>
      <w:r>
        <w:t xml:space="preserve">n gained (recruitment)</w:t>
      </w:r>
    </w:p>
    <w:p>
      <w:pPr>
        <w:numPr>
          <w:ilvl w:val="0"/>
          <w:numId w:val="1002"/>
        </w:numPr>
        <w:pStyle w:val="Compact"/>
      </w:pPr>
      <w:r>
        <w:t xml:space="preserve">n lost (mortality)</w:t>
      </w:r>
    </w:p>
    <w:p>
      <w:pPr>
        <w:numPr>
          <w:ilvl w:val="0"/>
          <w:numId w:val="1002"/>
        </w:numPr>
        <w:pStyle w:val="Compact"/>
      </w:pPr>
      <w:r>
        <w:t xml:space="preserve">∆ n stems</w:t>
      </w:r>
    </w:p>
    <w:p>
      <w:pPr>
        <w:numPr>
          <w:ilvl w:val="0"/>
          <w:numId w:val="1002"/>
        </w:numPr>
        <w:pStyle w:val="Compact"/>
      </w:pPr>
      <w:r>
        <w:t xml:space="preserve">biomass</w:t>
      </w:r>
    </w:p>
    <w:p>
      <w:pPr>
        <w:numPr>
          <w:ilvl w:val="0"/>
          <w:numId w:val="1002"/>
        </w:numPr>
        <w:pStyle w:val="Compact"/>
      </w:pPr>
      <w:r>
        <w:t xml:space="preserve">woody productivity</w:t>
      </w:r>
    </w:p>
    <w:p>
      <w:pPr>
        <w:numPr>
          <w:ilvl w:val="0"/>
          <w:numId w:val="1002"/>
        </w:numPr>
        <w:pStyle w:val="Compact"/>
      </w:pPr>
      <w:r>
        <w:t xml:space="preserve">woody mortality</w:t>
      </w:r>
    </w:p>
    <w:p>
      <w:pPr>
        <w:numPr>
          <w:ilvl w:val="0"/>
          <w:numId w:val="1002"/>
        </w:numPr>
        <w:pStyle w:val="Compact"/>
      </w:pPr>
      <w:r>
        <w:t xml:space="preserve">∆ biomass</w:t>
      </w:r>
    </w:p>
    <w:p>
      <w:pPr>
        <w:numPr>
          <w:ilvl w:val="0"/>
          <w:numId w:val="1002"/>
        </w:numPr>
        <w:pStyle w:val="Compact"/>
      </w:pPr>
      <w:r>
        <w:t xml:space="preserve">species richness</w:t>
      </w:r>
    </w:p>
    <w:p>
      <w:pPr>
        <w:numPr>
          <w:ilvl w:val="0"/>
          <w:numId w:val="1002"/>
        </w:numPr>
        <w:pStyle w:val="Compact"/>
      </w:pPr>
      <w:r>
        <w:t xml:space="preserve">n species gained</w:t>
      </w:r>
    </w:p>
    <w:p>
      <w:pPr>
        <w:numPr>
          <w:ilvl w:val="0"/>
          <w:numId w:val="1002"/>
        </w:numPr>
        <w:pStyle w:val="Compact"/>
      </w:pPr>
      <w:r>
        <w:t xml:space="preserve">n species lost</w:t>
      </w:r>
    </w:p>
    <w:p>
      <w:pPr>
        <w:numPr>
          <w:ilvl w:val="0"/>
          <w:numId w:val="1002"/>
        </w:numPr>
        <w:pStyle w:val="Compact"/>
      </w:pPr>
      <w:r>
        <w:t xml:space="preserve">∆ species richness</w:t>
      </w:r>
    </w:p>
    <w:bookmarkEnd w:id="31"/>
    <w:bookmarkStart w:id="32" w:name="results-dashboard"/>
    <w:p>
      <w:pPr>
        <w:pStyle w:val="Heading3"/>
      </w:pPr>
      <w:r>
        <w:rPr>
          <w:rStyle w:val="SectionNumber"/>
        </w:rPr>
        <w:t xml:space="preserve">2.2.3</w:t>
      </w:r>
      <w:r>
        <w:tab/>
      </w:r>
      <w:r>
        <w:t xml:space="preserve">Results Dashboard</w:t>
      </w:r>
    </w:p>
    <w:bookmarkEnd w:id="32"/>
    <w:bookmarkStart w:id="33" w:name="X9d5a4f15088e9c76e4839f0ca38ee1576519333"/>
    <w:p>
      <w:pPr>
        <w:pStyle w:val="Heading3"/>
      </w:pPr>
      <w:r>
        <w:rPr>
          <w:rStyle w:val="SectionNumber"/>
        </w:rPr>
        <w:t xml:space="preserve">2.2.4</w:t>
      </w:r>
      <w:r>
        <w:tab/>
      </w:r>
      <w:r>
        <w:t xml:space="preserve">Step 3: Finalizing Data with Species ID of Recruits</w:t>
      </w:r>
    </w:p>
    <w:p>
      <w:pPr>
        <w:pStyle w:val="FirstParagraph"/>
      </w:pPr>
      <w:r>
        <w:t xml:space="preserve">Tropical sites typically have a large lag between data collection and finalization because all new recruits must be identified to species.</w:t>
      </w:r>
      <w:r>
        <w:t xml:space="preserve"> </w:t>
      </w:r>
      <w:r>
        <w:t xml:space="preserve">Given high species diversity, it is not possible for even expert botanists to identify all species in teh field; rather, specimens must be collected and identified later with reference to botanical collections.</w:t>
      </w:r>
      <w:r>
        <w:t xml:space="preserve"> </w:t>
      </w:r>
      <w:r>
        <w:t xml:space="preserve">This process can take years, meaning that census data are often not finalized until years after the census has been completed.</w:t>
      </w:r>
      <w:r>
        <w:t xml:space="preserve"> </w:t>
      </w:r>
      <w:r>
        <w:t xml:space="preserve">While this process must be completed in order to quantify species richness, stem abundance can be calculated, and biomass estimated, before this process is complete.</w:t>
      </w:r>
    </w:p>
    <w:bookmarkEnd w:id="33"/>
    <w:bookmarkEnd w:id="34"/>
    <w:bookmarkEnd w:id="35"/>
    <w:bookmarkStart w:id="38" w:name="results"/>
    <w:p>
      <w:pPr>
        <w:pStyle w:val="Heading1"/>
      </w:pPr>
      <w:r>
        <w:rPr>
          <w:rStyle w:val="SectionNumber"/>
        </w:rPr>
        <w:t xml:space="preserve">3</w:t>
      </w:r>
      <w:r>
        <w:tab/>
      </w:r>
      <w:r>
        <w:t xml:space="preserve">Results</w:t>
      </w:r>
    </w:p>
    <w:bookmarkStart w:id="36" w:name="error-rates-and-detection"/>
    <w:p>
      <w:pPr>
        <w:pStyle w:val="Heading2"/>
      </w:pPr>
      <w:r>
        <w:rPr>
          <w:rStyle w:val="SectionNumber"/>
        </w:rPr>
        <w:t xml:space="preserve">3.1</w:t>
      </w:r>
      <w:r>
        <w:tab/>
      </w:r>
      <w:r>
        <w:t xml:space="preserve">Error Rates and Detection</w:t>
      </w:r>
    </w:p>
    <w:p>
      <w:pPr>
        <w:pStyle w:val="FirstParagraph"/>
      </w:pPr>
      <w:r>
        <w:rPr>
          <w:iCs/>
          <w:i/>
        </w:rPr>
        <w:t xml:space="preserve">Table #?. For each site: census pace, initial data error and warning rates (perhaps broken into categories),…</w:t>
      </w:r>
      <w:r>
        <w:rPr>
          <w:iCs/>
          <w:i/>
        </w:rPr>
        <w:t xml:space="preserve"> </w:t>
      </w:r>
    </w:p>
    <w:bookmarkEnd w:id="36"/>
    <w:bookmarkStart w:id="37" w:name="biological-results-1"/>
    <w:p>
      <w:pPr>
        <w:pStyle w:val="Heading2"/>
      </w:pPr>
      <w:r>
        <w:rPr>
          <w:rStyle w:val="SectionNumber"/>
        </w:rPr>
        <w:t xml:space="preserve">3.2</w:t>
      </w:r>
      <w:r>
        <w:tab/>
      </w:r>
      <w:r>
        <w:t xml:space="preserve">Biological Results</w:t>
      </w:r>
    </w:p>
    <w:bookmarkEnd w:id="37"/>
    <w:bookmarkEnd w:id="38"/>
    <w:bookmarkStart w:id="39" w:name="discussion"/>
    <w:p>
      <w:pPr>
        <w:pStyle w:val="Heading1"/>
      </w:pPr>
      <w:r>
        <w:rPr>
          <w:rStyle w:val="SectionNumber"/>
        </w:rPr>
        <w:t xml:space="preserve">4</w:t>
      </w:r>
      <w:r>
        <w:tab/>
      </w:r>
      <w:r>
        <w:t xml:space="preserve">Discussion</w:t>
      </w:r>
    </w:p>
    <w:bookmarkEnd w:id="39"/>
    <w:bookmarkStart w:id="40" w:name="conclusions-optional"/>
    <w:p>
      <w:pPr>
        <w:pStyle w:val="Heading1"/>
      </w:pPr>
      <w:r>
        <w:rPr>
          <w:rStyle w:val="SectionNumber"/>
        </w:rPr>
        <w:t xml:space="preserve">5</w:t>
      </w:r>
      <w:r>
        <w:tab/>
      </w:r>
      <w:r>
        <w:t xml:space="preserve">Conclusions (optional)</w:t>
      </w:r>
    </w:p>
    <w:bookmarkEnd w:id="40"/>
    <w:bookmarkStart w:id="41" w:name="Acknowledgements"/>
    <w:p>
      <w:pPr>
        <w:pStyle w:val="Heading1"/>
      </w:pPr>
      <w:r>
        <w:t xml:space="preserve">Acknowledgements</w:t>
      </w:r>
    </w:p>
    <w:p>
      <w:pPr>
        <w:numPr>
          <w:ilvl w:val="0"/>
          <w:numId w:val="1003"/>
        </w:numPr>
        <w:pStyle w:val="Compact"/>
      </w:pPr>
      <w:r>
        <w:t xml:space="preserve">Funding: ForestGEO</w:t>
      </w:r>
    </w:p>
    <w:bookmarkEnd w:id="41"/>
    <w:bookmarkStart w:id="42" w:name="Conflict"/>
    <w:p>
      <w:pPr>
        <w:pStyle w:val="Heading1"/>
      </w:pPr>
      <w:r>
        <w:t xml:space="preserve">Conflict of Interest statement</w:t>
      </w:r>
    </w:p>
    <w:p>
      <w:pPr>
        <w:pStyle w:val="FirstParagraph"/>
      </w:pPr>
      <w:r>
        <w:t xml:space="preserve">The authors declare no conflict of interest.</w:t>
      </w:r>
    </w:p>
    <w:bookmarkEnd w:id="42"/>
    <w:bookmarkStart w:id="43" w:name="Authors"/>
    <w:p>
      <w:pPr>
        <w:pStyle w:val="Heading1"/>
      </w:pPr>
      <w:r>
        <w:t xml:space="preserve">Authors’ contributions</w:t>
      </w:r>
    </w:p>
    <w:p>
      <w:pPr>
        <w:pStyle w:val="FirstParagraph"/>
      </w:pPr>
      <w:r>
        <w:rPr>
          <w:iCs/>
          <w:i/>
        </w:rPr>
        <w:t xml:space="preserve">[Name of author 1] and [Name of author 2] conceived the ideas and designed methodology; [Name of author 1] and [Name of author 3] collected the data; [Name of author 2] and [Name of author 4] analysed the data; [Name of author 1] and [Name of author 4] led the writing of the manuscript. All authors contributed critically to the drafts and gave final approval for publication.</w:t>
      </w:r>
    </w:p>
    <w:bookmarkEnd w:id="43"/>
    <w:bookmarkStart w:id="44" w:name="Data"/>
    <w:p>
      <w:pPr>
        <w:pStyle w:val="Heading1"/>
      </w:pPr>
      <w:r>
        <w:t xml:space="preserve">Data availability</w:t>
      </w:r>
    </w:p>
    <w:p>
      <w:r>
        <w:br w:type="page"/>
      </w:r>
    </w:p>
    <w:bookmarkEnd w:id="44"/>
    <w:bookmarkStart w:id="52" w:name="References"/>
    <w:p>
      <w:pPr>
        <w:pStyle w:val="Heading1"/>
      </w:pPr>
      <w:r>
        <w:t xml:space="preserve">References</w:t>
      </w:r>
    </w:p>
    <w:bookmarkStart w:id="51" w:name="refs"/>
    <w:bookmarkStart w:id="46" w:name="ref-anderson-teixeira_ctfsforestgeo_2015"/>
    <w:p>
      <w:pPr>
        <w:pStyle w:val="Bibliography"/>
      </w:pPr>
      <w:r>
        <w:t xml:space="preserve">Anderson-Teixeira, K. J., Davies, S. J., Bennett, A. C., Gonzalez-Akre, E. B., Muller-Landau, H. C., Joseph Wright, S., Abu Salim, K., Almeyda Zambrano, A. M., Alonso, A., Baltzer, J. L., Basset, Y., Bourg, N. A., Broadbent, E. N., Brockelman, W. Y., Bunyavejchewin, S., Burslem, D. F. R. P., Butt, N., Cao, M., Cardenas, D., … Zimmerman, J. (2015).</w:t>
      </w:r>
      <w:r>
        <w:t xml:space="preserve"> </w:t>
      </w:r>
      <w:r>
        <w:t xml:space="preserve">CTFS-ForestGEO</w:t>
      </w:r>
      <w:r>
        <w:t xml:space="preserve"> </w:t>
      </w:r>
      <w:r>
        <w:t xml:space="preserve">: A worldwide network monitoring forests in an era of global change.</w:t>
      </w:r>
      <w:r>
        <w:t xml:space="preserve"> </w:t>
      </w:r>
      <w:r>
        <w:rPr>
          <w:iCs/>
          <w:i/>
        </w:rPr>
        <w:t xml:space="preserve">Global Change Biology</w:t>
      </w:r>
      <w:r>
        <w:t xml:space="preserve">,</w:t>
      </w:r>
      <w:r>
        <w:t xml:space="preserve"> </w:t>
      </w:r>
      <w:r>
        <w:rPr>
          <w:iCs/>
          <w:i/>
        </w:rPr>
        <w:t xml:space="preserve">21</w:t>
      </w:r>
      <w:r>
        <w:t xml:space="preserve">(2), 528–549.</w:t>
      </w:r>
      <w:r>
        <w:t xml:space="preserve"> </w:t>
      </w:r>
      <w:hyperlink r:id="rId45">
        <w:r>
          <w:rPr>
            <w:rStyle w:val="Hyperlink"/>
          </w:rPr>
          <w:t xml:space="preserve">https://doi.org/10.1111/gcb.12712</w:t>
        </w:r>
      </w:hyperlink>
    </w:p>
    <w:bookmarkEnd w:id="46"/>
    <w:bookmarkStart w:id="48" w:name="ref-davies_forestgeo_2021"/>
    <w:p>
      <w:pPr>
        <w:pStyle w:val="Bibliography"/>
      </w:pPr>
      <w:r>
        <w:t xml:space="preserve">Davies, S. J., Abiem, I., Abu Salim, K., Aguilar, S., Allen, D., Alonso, A., Anderson-Teixeira, K., Andrade, A., Arellano, G., Ashton, P. S., Baker, P. J., Baker, M. E., Baltzer, J. L., Basset, Y., Bissiengou, P., Bohlman, S., Bourg, N. A., Brockelman, W. Y., Bunyavejchewin, S., … Zuleta, D. (2021).</w:t>
      </w:r>
      <w:r>
        <w:t xml:space="preserve"> </w:t>
      </w:r>
      <w:r>
        <w:t xml:space="preserve">ForestGEO</w:t>
      </w:r>
      <w:r>
        <w:t xml:space="preserve">:</w:t>
      </w:r>
      <w:r>
        <w:t xml:space="preserve"> </w:t>
      </w:r>
      <w:r>
        <w:t xml:space="preserve">Understanding</w:t>
      </w:r>
      <w:r>
        <w:t xml:space="preserve"> </w:t>
      </w:r>
      <w:r>
        <w:t xml:space="preserve">forest diversity and dynamics through a global observatory network.</w:t>
      </w:r>
      <w:r>
        <w:t xml:space="preserve"> </w:t>
      </w:r>
      <w:r>
        <w:rPr>
          <w:iCs/>
          <w:i/>
        </w:rPr>
        <w:t xml:space="preserve">Biological Conservation</w:t>
      </w:r>
      <w:r>
        <w:t xml:space="preserve">,</w:t>
      </w:r>
      <w:r>
        <w:t xml:space="preserve"> </w:t>
      </w:r>
      <w:r>
        <w:rPr>
          <w:iCs/>
          <w:i/>
        </w:rPr>
        <w:t xml:space="preserve">253</w:t>
      </w:r>
      <w:r>
        <w:t xml:space="preserve">, 108907.</w:t>
      </w:r>
      <w:r>
        <w:t xml:space="preserve"> </w:t>
      </w:r>
      <w:hyperlink r:id="rId47">
        <w:r>
          <w:rPr>
            <w:rStyle w:val="Hyperlink"/>
          </w:rPr>
          <w:t xml:space="preserve">https://doi.org/10.1016/j.biocon.2020.108907</w:t>
        </w:r>
      </w:hyperlink>
    </w:p>
    <w:bookmarkEnd w:id="48"/>
    <w:bookmarkStart w:id="50" w:name="ref-kim_implementing_2022"/>
    <w:p>
      <w:pPr>
        <w:pStyle w:val="Bibliography"/>
      </w:pPr>
      <w:r>
        <w:t xml:space="preserve">Kim, A. Y., Herrmann, V., Bareto, R., Calkins, B., Gonzalez-Akre, E., Johnson, D. J., Jordan, J. A., Magee, L., McGregor, I. R., Montero, N., Novak, K., Rogers, T., Shue, J., &amp; Anderson-Teixeira, K. J. (2022). Implementing</w:t>
      </w:r>
      <w:r>
        <w:t xml:space="preserve"> </w:t>
      </w:r>
      <w:r>
        <w:t xml:space="preserve">GitHub Actions</w:t>
      </w:r>
      <w:r>
        <w:t xml:space="preserve"> </w:t>
      </w:r>
      <w:r>
        <w:t xml:space="preserve">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49">
        <w:r>
          <w:rPr>
            <w:rStyle w:val="Hyperlink"/>
          </w:rPr>
          <w:t xml:space="preserve">https://doi.org/10.1111/2041-210X.13982</w:t>
        </w:r>
      </w:hyperlink>
    </w:p>
    <w:bookmarkEnd w:id="50"/>
    <w:bookmarkEnd w:id="51"/>
    <w:bookmarkEnd w:id="52"/>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47" Target="https://doi.org/10.1016/j.biocon.2020.108907" TargetMode="External" /><Relationship Type="http://schemas.openxmlformats.org/officeDocument/2006/relationships/hyperlink" Id="rId49" Target="https://doi.org/10.1111/2041-210X.13982" TargetMode="External" /><Relationship Type="http://schemas.openxmlformats.org/officeDocument/2006/relationships/hyperlink" Id="rId45" Target="https://doi.org/10.1111/gcb.12712"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16/j.biocon.2020.108907" TargetMode="External" /><Relationship Type="http://schemas.openxmlformats.org/officeDocument/2006/relationships/hyperlink" Id="rId49" Target="https://doi.org/10.1111/2041-210X.13982" TargetMode="External" /><Relationship Type="http://schemas.openxmlformats.org/officeDocument/2006/relationships/hyperlink" Id="rId45" Target="https://doi.org/10.1111/gcb.12712"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2023-06-08T18:41:41Z</dcterms:created>
  <dcterms:modified xsi:type="dcterms:W3CDTF">2023-06-08T18:41:41Z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methods-in-ecology-and-evolution.csl</vt:lpwstr>
  </property>
  <property fmtid="{D5CDD505-2E9C-101B-9397-08002B2CF9AE}" pid="4" name="output">
    <vt:lpwstr/>
  </property>
</Properties>
</file>