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</w:pPr>
      <w:r>
        <w:t>要为中国邮政企业构建一个详细的知识库，我们需要在金融业务领域收集大量的信息。由于内容丰富且涉及面广，我将分批次为您提供每个子领域的详细信息。以下是第一部分，涉及储蓄业务的详细内容。</w:t>
      </w:r>
    </w:p>
    <w:p>
      <w:pPr>
        <w:pStyle w:val="2"/>
        <w:keepNext w:val="0"/>
        <w:keepLines w:val="0"/>
        <w:widowControl/>
        <w:suppressLineNumbers w:val="0"/>
      </w:pPr>
      <w:r>
        <w:t>一、金融业务</w:t>
      </w:r>
    </w:p>
    <w:p>
      <w:pPr>
        <w:pStyle w:val="3"/>
        <w:keepNext w:val="0"/>
        <w:keepLines w:val="0"/>
        <w:widowControl/>
        <w:suppressLineNumbers w:val="0"/>
      </w:pPr>
      <w:r>
        <w:t>1. 储蓄业务</w:t>
      </w:r>
    </w:p>
    <w:p>
      <w:pPr>
        <w:pStyle w:val="4"/>
        <w:keepNext w:val="0"/>
        <w:keepLines w:val="0"/>
        <w:widowControl/>
        <w:suppressLineNumbers w:val="0"/>
      </w:pPr>
      <w:r>
        <w:t>储蓄账户类型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活期储蓄账户</w:t>
      </w:r>
      <w:r>
        <w:t>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：活期储蓄账户是最常见的储蓄账户类型，允许客户随时存取款。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：适合需要频繁使用资金的客户。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利率</w:t>
      </w:r>
      <w:r>
        <w:t>：通常较低，但资金流动性高。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定期储蓄账户</w:t>
      </w:r>
      <w:r>
        <w:t>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：客户将资金存入银行一定期限，期间不能提前支取，否则会影响利息收益。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：适合有闲置资金且短期内不需要动用的客户。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利率</w:t>
      </w:r>
      <w:r>
        <w:t>：通常高于活期储蓄账户，根据存期长短，利率有所不同。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教育储蓄账户</w:t>
      </w:r>
      <w:r>
        <w:t>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：专为家庭储蓄子女教育资金而设，具有税收优惠政策。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：适合计划为子女教育储蓄的家庭。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利率</w:t>
      </w:r>
      <w:r>
        <w:t>：较一般定期储蓄略高，并享有国家规定的税收优惠。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4. 大额存单</w:t>
      </w:r>
      <w:r>
        <w:t>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：以存款证书形式发行的大额存款产品，起存金额较高。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：适合有大额资金且希望获得较高利率的客户。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利率</w:t>
      </w:r>
      <w:r>
        <w:t>：通常高于普通定期储蓄。</w:t>
      </w:r>
    </w:p>
    <w:p>
      <w:pPr>
        <w:pStyle w:val="4"/>
        <w:keepNext w:val="0"/>
        <w:keepLines w:val="0"/>
        <w:widowControl/>
        <w:suppressLineNumbers w:val="0"/>
      </w:pPr>
      <w:r>
        <w:t>储蓄利率</w:t>
      </w:r>
    </w:p>
    <w:p>
      <w:pPr>
        <w:pStyle w:val="5"/>
        <w:keepNext w:val="0"/>
        <w:keepLines w:val="0"/>
        <w:widowControl/>
        <w:suppressLineNumbers w:val="0"/>
      </w:pPr>
      <w:r>
        <w:t>储蓄利率根据不同的储蓄产品和存期而有所不同。以下是一些主要的储蓄产品利率：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活期储蓄</w:t>
      </w:r>
      <w:r>
        <w:t>：利率较低，一般在0.3%以下。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三个月定期储蓄</w:t>
      </w:r>
      <w:r>
        <w:t>：利率通常在1.1%左右。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六个月定期储蓄</w:t>
      </w:r>
      <w:r>
        <w:t>：利率通常在1.3%左右。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一年定期储蓄</w:t>
      </w:r>
      <w:r>
        <w:t>：利率通常在1.5%左右。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两年定期储蓄</w:t>
      </w:r>
      <w:r>
        <w:t>：利率通常在2.1%左右。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三年定期储蓄</w:t>
      </w:r>
      <w:r>
        <w:t>：利率通常在2.75%左右。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五年定期储蓄</w:t>
      </w:r>
      <w:r>
        <w:t>：利率通常在3%左右。</w:t>
      </w:r>
    </w:p>
    <w:p>
      <w:pPr>
        <w:pStyle w:val="4"/>
        <w:keepNext w:val="0"/>
        <w:keepLines w:val="0"/>
        <w:widowControl/>
        <w:suppressLineNumbers w:val="0"/>
      </w:pPr>
      <w:r>
        <w:t>储蓄产品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零存整取</w:t>
      </w:r>
      <w:r>
        <w:t>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：客户按月存入固定金额，到期一次性取出本息。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：适合有稳定收入且能定期存款的客户。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利率</w:t>
      </w:r>
      <w:r>
        <w:t>：通常高于活期储蓄，低于定期储蓄。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整存整取</w:t>
      </w:r>
      <w:r>
        <w:t>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：一次性存入，到期一次性支取本息。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：适合有一笔闲置资金，短期内不需要动用的客户。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利率</w:t>
      </w:r>
      <w:r>
        <w:t>：根据存期不同，利率有所变化，通常高于零存整取。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定活两便</w:t>
      </w:r>
      <w:r>
        <w:t>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：存款期限灵活，利息按照实际存款天数计算。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：适合不确定存款期限的客户。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利率</w:t>
      </w:r>
      <w:r>
        <w:t>：按活期利率计算，提前支取按定期利率计息。</w:t>
      </w:r>
    </w:p>
    <w:p>
      <w:pPr>
        <w:pStyle w:val="4"/>
        <w:keepNext w:val="0"/>
        <w:keepLines w:val="0"/>
        <w:widowControl/>
        <w:suppressLineNumbers w:val="0"/>
      </w:pPr>
      <w:r>
        <w:t>客户服务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账户管理</w:t>
      </w:r>
      <w:r>
        <w:t>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：开立、查询、转账、挂失、销户等。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：网点柜台、网上银行、手机银行、自助设备。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客户咨询</w:t>
      </w:r>
      <w:r>
        <w:t>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：提供业务咨询、产品介绍、利率查询等。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：网点柜台、电话银行、在线客服。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客户投诉与反馈</w:t>
      </w:r>
      <w:r>
        <w:t>：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：处理客户投诉、建议及意见，改进服务质量。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：客户服务中心、投诉热线、官网反馈。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4. 账户安全</w:t>
      </w:r>
      <w:r>
        <w:t>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：提供账户安全保障措施，如短信提醒、动态密码、身份验证等。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：网点柜台、网上银行、手机银行。</w:t>
      </w:r>
    </w:p>
    <w:p>
      <w:pPr>
        <w:pStyle w:val="2"/>
        <w:keepNext w:val="0"/>
        <w:keepLines w:val="0"/>
        <w:widowControl/>
        <w:suppressLineNumbers w:val="0"/>
      </w:pPr>
      <w:r>
        <w:t>二、保险业务</w:t>
      </w:r>
    </w:p>
    <w:p>
      <w:pPr>
        <w:pStyle w:val="3"/>
        <w:keepNext w:val="0"/>
        <w:keepLines w:val="0"/>
        <w:widowControl/>
        <w:suppressLineNumbers w:val="0"/>
      </w:pPr>
      <w:r>
        <w:t>1. 保险产品类型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人寿保险</w:t>
      </w:r>
      <w:r>
        <w:t>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：提供身故保障及一定的储蓄功能。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：适合希望提供家庭保障的客户。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产品种类</w:t>
      </w:r>
      <w:r>
        <w:t>：定期寿险、终身寿险、两全保险等。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健康保险</w:t>
      </w:r>
      <w:r>
        <w:t>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：覆盖重大疾病、住院医疗等费用。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：适合希望预防和转移重大疾病风险的客户。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产品种类</w:t>
      </w:r>
      <w:r>
        <w:t>：重疾险、医疗险、住院津贴险等。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意外保险</w:t>
      </w:r>
      <w:r>
        <w:t>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：提供意外伤害及身故保障。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：适合希望防范意外风险的客户。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产品种类</w:t>
      </w:r>
      <w:r>
        <w:t>：个人意外险、交通意外险、旅游意外险等。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4. 财产保险</w:t>
      </w:r>
      <w:r>
        <w:t>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：覆盖财产损失及责任风险。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：适合希望保护个人或企业财产的客户。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产品种类</w:t>
      </w:r>
      <w:r>
        <w:t>：家庭财产险、企业财产险、责任险等。</w:t>
      </w:r>
    </w:p>
    <w:p>
      <w:pPr>
        <w:pStyle w:val="3"/>
        <w:keepNext w:val="0"/>
        <w:keepLines w:val="0"/>
        <w:widowControl/>
        <w:suppressLineNumbers w:val="0"/>
      </w:pPr>
      <w:r>
        <w:t>2. 保险政策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监管机构</w:t>
      </w:r>
      <w:r>
        <w:t>：中国银保监会负责监管保险市场，制定相关政策法规。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政策内容</w:t>
      </w:r>
      <w:r>
        <w:t>：涵盖保险公司设立、产品开发、市场营销、理赔服务等方面。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实施细则</w:t>
      </w:r>
      <w:r>
        <w:t>：各类保险产品的具体实施细则，包括保费计算、理赔标准等。</w:t>
      </w:r>
    </w:p>
    <w:p>
      <w:pPr>
        <w:pStyle w:val="3"/>
        <w:keepNext w:val="0"/>
        <w:keepLines w:val="0"/>
        <w:widowControl/>
        <w:suppressLineNumbers w:val="0"/>
      </w:pPr>
      <w:r>
        <w:t>3. 理赔流程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理赔申请</w:t>
      </w:r>
      <w:r>
        <w:t>：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步骤</w:t>
      </w:r>
      <w:r>
        <w:t>：客户提交理赔申请，包括填写理赔申请表、提供相关证明材料（如医疗报告、死亡证明等）。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：客户可以通过网点柜台、网上平台、手机APP等渠道提交申请。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理赔审核</w:t>
      </w:r>
      <w:r>
        <w:t>：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步骤</w:t>
      </w:r>
      <w:r>
        <w:t>：保险公司对理赔申请进行审核，包括核实材料真实性、确认保险责任等。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时限</w:t>
      </w:r>
      <w:r>
        <w:t>：一般在收到完整材料后10个工作日内完成审核。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理赔支付</w:t>
      </w:r>
      <w:r>
        <w:t>：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步骤</w:t>
      </w:r>
      <w:r>
        <w:t>：审核通过后，保险公司将理赔款项支付给客户。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支付方式</w:t>
      </w:r>
      <w:r>
        <w:t>：通过银行转账、支票或其他方式支付。</w:t>
      </w:r>
    </w:p>
    <w:p>
      <w:pPr>
        <w:pStyle w:val="3"/>
        <w:keepNext w:val="0"/>
        <w:keepLines w:val="0"/>
        <w:widowControl/>
        <w:suppressLineNumbers w:val="0"/>
      </w:pPr>
      <w:r>
        <w:t>4. 客户服务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保险咨询</w:t>
      </w:r>
      <w:r>
        <w:t>：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：提供保险产品介绍、保费计算、投保建议等。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：网点柜台、电话客服、在线客服。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投保服务</w:t>
      </w:r>
      <w:r>
        <w:t>：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：协助客户选择合适的保险产品，完成投保手续。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：网点柜台、网上平台、手机APP。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保单管理</w:t>
      </w:r>
      <w:r>
        <w:t>：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：保单查询、变更、续保、退保等。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：网点柜台、网上平台、手机APP。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4. 客户投诉与反馈</w:t>
      </w:r>
      <w:r>
        <w:t>：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：处理客户投诉、建议及意见，改进服务质量。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：客户服务中心、投诉热线、官网反馈。</w:t>
      </w:r>
    </w:p>
    <w:p>
      <w:pPr>
        <w:pStyle w:val="3"/>
        <w:keepNext w:val="0"/>
        <w:keepLines w:val="0"/>
        <w:widowControl/>
        <w:suppressLineNumbers w:val="0"/>
      </w:pPr>
      <w:r>
        <w:t>2. 理财业务</w:t>
      </w:r>
    </w:p>
    <w:p>
      <w:pPr>
        <w:pStyle w:val="4"/>
        <w:keepNext w:val="0"/>
        <w:keepLines w:val="0"/>
        <w:widowControl/>
        <w:suppressLineNumbers w:val="0"/>
      </w:pPr>
      <w:r>
        <w:t>理财产品类型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货币市场基金</w:t>
      </w:r>
      <w:r>
        <w:t>：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：主要投资于货币市场工具，如短期债券、定期存单等，风险较低，流动性高。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：适合风险承受能力较低、追求稳定收益的客户。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债券型基金</w:t>
      </w:r>
      <w:r>
        <w:t>：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：主要投资于债券，风险低于股票型基金，收益稳定。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：适合中等风险承受能力、追求稳定收益的客户。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股票型基金</w:t>
      </w:r>
      <w:r>
        <w:t>：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：主要投资于股票，风险较高，预期收益较高。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：适合风险承受能力较高、追求高收益的客户。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4. 混合型基金</w:t>
      </w:r>
      <w:r>
        <w:t>：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：同时投资于股票和债券，风险和收益介于股票型和债券型基金之间。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：适合希望通过多元化投资分散风险的客户。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5. 指数基金</w:t>
      </w:r>
      <w:r>
        <w:t>：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：追踪特定指数的表现，费用较低，风险和收益与市场指数挂钩。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：适合希望紧跟市场表现的客户。</w:t>
      </w:r>
    </w:p>
    <w:p>
      <w:pPr>
        <w:pStyle w:val="4"/>
        <w:keepNext w:val="0"/>
        <w:keepLines w:val="0"/>
        <w:widowControl/>
        <w:suppressLineNumbers w:val="0"/>
      </w:pPr>
      <w:r>
        <w:t>风险评估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客户风险承受能力评估</w:t>
      </w:r>
      <w:r>
        <w:t>：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方法</w:t>
      </w:r>
      <w:r>
        <w:t>：通过问卷调查、数据分析等方式评估客户的风险承受能力。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指标</w:t>
      </w:r>
      <w:r>
        <w:t>：包括客户的收入水平、投资经验、风险偏好、财务状况等。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产品风险评级</w:t>
      </w:r>
      <w:r>
        <w:t>：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方法</w:t>
      </w:r>
      <w:r>
        <w:t>：根据理财产品的投资标的、市场风险、流动性等因素进行评级。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等级</w:t>
      </w:r>
      <w:r>
        <w:t>：通常分为低风险、中低风险、中风险、中高风险、高风险等。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投资组合优化</w:t>
      </w:r>
      <w:r>
        <w:t>：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方法</w:t>
      </w:r>
      <w:r>
        <w:t>：根据客户的风险承受能力和投资目标，制定合理的投资组合，分散风险。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工具</w:t>
      </w:r>
      <w:r>
        <w:t>：使用现代投资组合理论、风险价值（VaR）等工具进行优化。</w:t>
      </w:r>
    </w:p>
    <w:p>
      <w:pPr>
        <w:pStyle w:val="4"/>
        <w:keepNext w:val="0"/>
        <w:keepLines w:val="0"/>
        <w:widowControl/>
        <w:suppressLineNumbers w:val="0"/>
      </w:pPr>
      <w:r>
        <w:t>收益分析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历史收益分析</w:t>
      </w:r>
      <w:r>
        <w:t>：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方法</w:t>
      </w:r>
      <w:r>
        <w:t>：通过分析理财产品的历史收益率，评估其未来的收益潜力。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数据来源</w:t>
      </w:r>
      <w:r>
        <w:t>：产品说明书、基金年报、市场数据等。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预期收益分析</w:t>
      </w:r>
      <w:r>
        <w:t>：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方法</w:t>
      </w:r>
      <w:r>
        <w:t>：基于市场环境、经济形势、产品投资组合等因素，预测理财产品的未来收益。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工具</w:t>
      </w:r>
      <w:r>
        <w:t>：使用收益模型、蒙特卡洛模拟等工具进行预测。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收益率比较</w:t>
      </w:r>
      <w:r>
        <w:t>：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方法</w:t>
      </w:r>
      <w:r>
        <w:t>：将不同理财产品的收益率进行比较，帮助客户选择最优产品。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指标</w:t>
      </w:r>
      <w:r>
        <w:t>：包括年化收益率、波动率、夏普比率等。</w:t>
      </w:r>
    </w:p>
    <w:p>
      <w:pPr>
        <w:pStyle w:val="4"/>
        <w:keepNext w:val="0"/>
        <w:keepLines w:val="0"/>
        <w:widowControl/>
        <w:suppressLineNumbers w:val="0"/>
      </w:pPr>
      <w:r>
        <w:t>客户咨询服务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理财咨询</w:t>
      </w:r>
      <w:r>
        <w:t>：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：提供专业的理财建议，包括资产配置、产品选择、风险管理等。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：网点柜台、电话客服、在线客服、专属理财顾问。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产品介绍</w:t>
      </w:r>
      <w:r>
        <w:t>：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：详细介绍理财产品的特点、投资标的、风险和收益情况。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：产品说明书、宣传手册、官网介绍、线上平台。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投资教育</w:t>
      </w:r>
      <w:r>
        <w:t>：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：开展投资教育活动，提升客户的理财知识和风险意识。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：理财讲座、培训课程、线上学习平台、投资手册。</w:t>
      </w:r>
    </w:p>
    <w:p>
      <w:pPr>
        <w:pStyle w:val="3"/>
        <w:keepNext w:val="0"/>
        <w:keepLines w:val="0"/>
        <w:widowControl/>
        <w:suppressLineNumbers w:val="0"/>
      </w:pPr>
      <w:r>
        <w:t>3. 基金业务</w:t>
      </w:r>
    </w:p>
    <w:p>
      <w:pPr>
        <w:pStyle w:val="4"/>
        <w:keepNext w:val="0"/>
        <w:keepLines w:val="0"/>
        <w:widowControl/>
        <w:suppressLineNumbers w:val="0"/>
      </w:pPr>
      <w:r>
        <w:t>基金产品类型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开放式基金</w:t>
      </w:r>
      <w:r>
        <w:t>：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：基金规模不固定，投资者可随时申购和赎回。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：适合流动性要求较高的客户。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封闭式基金</w:t>
      </w:r>
      <w:r>
        <w:t>：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：基金规模固定，只有在特定时间可以申购和赎回。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：适合长期投资的客户。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货币市场基金</w:t>
      </w:r>
      <w:r>
        <w:t>：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：主要投资于短期货币市场工具，流动性高，风险低。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：适合风险承受能力较低的客户。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4. 债券型基金</w:t>
      </w:r>
      <w:r>
        <w:t>：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：主要投资于债券，风险低于股票型基金，收益稳定。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：适合追求稳定收益的客户。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5. 股票型基金</w:t>
      </w:r>
      <w:r>
        <w:t>：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：主要投资于股票，风险高，预期收益高。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：适合风险承受能力较高的客户。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6. 混合型基金</w:t>
      </w:r>
      <w:r>
        <w:t>：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：同时投资于股票和债券，风险和收益介于股票型和债券型基金之间。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：适合希望通过多元化投资分散风险的客户。</w:t>
      </w:r>
    </w:p>
    <w:p>
      <w:pPr>
        <w:pStyle w:val="4"/>
        <w:keepNext w:val="0"/>
        <w:keepLines w:val="0"/>
        <w:widowControl/>
        <w:suppressLineNumbers w:val="0"/>
      </w:pPr>
      <w:r>
        <w:t>基金管理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基金经理</w:t>
      </w:r>
      <w:r>
        <w:t>：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职责</w:t>
      </w:r>
      <w:r>
        <w:t>：负责基金的投资决策和管理，追求基金资产的增值。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要求</w:t>
      </w:r>
      <w:r>
        <w:t>：具备丰富的投资经验和专业知识，通过基金管理公司任命。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投资策略</w:t>
      </w:r>
      <w:r>
        <w:t>：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内容</w:t>
      </w:r>
      <w:r>
        <w:t>：基金经理根据市场情况和基金投资目标制定的投资计划。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类型</w:t>
      </w:r>
      <w:r>
        <w:t>：主动管理策略、被动管理策略、价值投资策略、成长投资策略等。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风险控制</w:t>
      </w:r>
      <w: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措施</w:t>
      </w:r>
      <w:r>
        <w:t>：通过资产配置、分散投资、严格的风险管理流程控制基金投资风险。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工具</w:t>
      </w:r>
      <w:r>
        <w:t>：风险评估模型、压力测试、投资组合管理系统等。</w:t>
      </w:r>
    </w:p>
    <w:p>
      <w:pPr>
        <w:pStyle w:val="4"/>
        <w:keepNext w:val="0"/>
        <w:keepLines w:val="0"/>
        <w:widowControl/>
        <w:suppressLineNumbers w:val="0"/>
      </w:pPr>
      <w:r>
        <w:t>投资策略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主动管理策略</w:t>
      </w:r>
      <w:r>
        <w:t>：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：基金经理主动选股择时，力求超越市场平均收益。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：适合希望通过专业管理获取超额收益的客户。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被动管理策略</w:t>
      </w:r>
      <w:r>
        <w:t>：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：基金紧密跟踪某一市场指数，收益与指数表现紧密相关。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：适合希望紧跟市场表现、费用较低的客户。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价值投资策略</w:t>
      </w:r>
      <w:r>
        <w:t>：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：投资于被市场低估的股票或资产，长期持有，等待价值回归。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：适合具有长期投资眼光的客户。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4. 成长投资策略</w:t>
      </w:r>
      <w:r>
        <w:t>：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：投资于具有高增长潜力的公司或行业，追求资本增值。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：适合希望获得高成长收益、风险承受能力较强的客户。</w:t>
      </w:r>
    </w:p>
    <w:p>
      <w:pPr>
        <w:pStyle w:val="4"/>
        <w:keepNext w:val="0"/>
        <w:keepLines w:val="0"/>
        <w:widowControl/>
        <w:suppressLineNumbers w:val="0"/>
      </w:pPr>
      <w:r>
        <w:t>客户服务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基金咨询</w:t>
      </w:r>
      <w:r>
        <w:t>：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：提供基金产品介绍、投资建议、风险评估等服务。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：网点柜台、电话客服、在线客服、专属基金顾问。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基金交易</w:t>
      </w:r>
      <w:r>
        <w:t>：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：办理基金的申购、赎回、转换、分红等业务。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：网点柜台、网上平台、手机APP。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基金账户管理</w:t>
      </w:r>
      <w:r>
        <w:t>：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：查询基金账户信息、交易记录、收益情况等。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：网点柜台、网上平台、手机APP。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4. 客户投诉与反馈</w:t>
      </w:r>
      <w:r>
        <w:t>：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服务内容</w:t>
      </w:r>
      <w:r>
        <w:t>：处理客户投诉、建议及意见，改进服务质量。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渠道</w:t>
      </w:r>
      <w:r>
        <w:t>：客户服务中心、投诉热线、官网反馈。</w:t>
      </w:r>
    </w:p>
    <w:p>
      <w:pPr>
        <w:pStyle w:val="3"/>
        <w:keepNext w:val="0"/>
        <w:keepLines w:val="0"/>
        <w:widowControl/>
        <w:suppressLineNumbers w:val="0"/>
      </w:pPr>
      <w:r>
        <w:t>4. 国债业务</w:t>
      </w:r>
    </w:p>
    <w:p>
      <w:pPr>
        <w:pStyle w:val="4"/>
        <w:keepNext w:val="0"/>
        <w:keepLines w:val="0"/>
        <w:widowControl/>
        <w:suppressLineNumbers w:val="0"/>
      </w:pPr>
      <w:r>
        <w:t>国债种类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凭证式国债</w:t>
      </w:r>
      <w:r>
        <w:t>：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：以凭证形式发行，投资者需持有凭证进行买卖。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：适合个人投资者，风险较低，收益稳定。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电子式国债</w:t>
      </w:r>
      <w:r>
        <w:t>：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：以电子记账形式发行，投资者通过银行账户进行买卖。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：适合个人和机构投资者，交易方便。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记账式国债</w:t>
      </w:r>
      <w:r>
        <w:t>：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：通过证券交易所上市交易，价格随市场波动。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：适合风险承受能力较高、希望通过交易获取收益的投资者。</w:t>
      </w:r>
    </w:p>
    <w:p>
      <w:pPr>
        <w:pStyle w:val="4"/>
        <w:keepNext w:val="0"/>
        <w:keepLines w:val="0"/>
        <w:widowControl/>
        <w:suppressLineNumbers w:val="0"/>
      </w:pPr>
      <w:r>
        <w:t>购买渠道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银行网点</w:t>
      </w:r>
      <w:r>
        <w:t>：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：投资者可以通过各大银行网点购买国债，方便快捷。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：适合传统银行客户。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网上银行</w:t>
      </w:r>
      <w:r>
        <w:t>：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：通过网上银行平台购买国债，操作简便。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：适合熟悉网络操作的客户。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手机银行</w:t>
      </w:r>
      <w:r>
        <w:t>：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：通过手机银行APP进行国债购买，随时随地交易。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：适合希望在移动设备上操作的客户。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4. 证券公司</w:t>
      </w:r>
      <w:r>
        <w:t>：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特点</w:t>
      </w:r>
      <w:r>
        <w:t>：通过证券公司账户购买记账式国债，方便进行二级市场交易。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适用对象</w:t>
      </w:r>
      <w:r>
        <w:t>：适合希望进行国债交易的投资者。</w:t>
      </w:r>
    </w:p>
    <w:p>
      <w:pPr>
        <w:pStyle w:val="4"/>
        <w:keepNext w:val="0"/>
        <w:keepLines w:val="0"/>
        <w:widowControl/>
        <w:suppressLineNumbers w:val="0"/>
      </w:pPr>
      <w:r>
        <w:t>收益及风险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收益</w:t>
      </w:r>
      <w:r>
        <w:t>：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固定收益</w:t>
      </w:r>
      <w:r>
        <w:t>：国债通常提供固定利率，收益稳定。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到期还本付息</w:t>
      </w:r>
      <w:r>
        <w:t>：到期时按票面利率支付利息，并返还本金。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税收优惠</w:t>
      </w:r>
      <w:r>
        <w:t>：部分国债享有免税政策，提高实际收益。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风险</w:t>
      </w:r>
      <w:r>
        <w:t>：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信用风险</w:t>
      </w:r>
      <w:r>
        <w:t>：国债由国家信用担保，信用风险极低。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利率风险</w:t>
      </w:r>
      <w:r>
        <w:t>：市场利率变化可能影响国债的市场价格。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流动性风险</w:t>
      </w:r>
      <w:r>
        <w:t>：凭证式和电子式国债流动性较低，记账式国债流动性较高。</w:t>
      </w:r>
    </w:p>
    <w:p>
      <w:pPr>
        <w:pStyle w:val="4"/>
        <w:keepNext w:val="0"/>
        <w:keepLines w:val="0"/>
        <w:widowControl/>
        <w:suppressLineNumbers w:val="0"/>
      </w:pPr>
      <w:r>
        <w:t>政策解读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发行政策</w:t>
      </w:r>
      <w:r>
        <w:t>：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发行主体</w:t>
      </w:r>
      <w:r>
        <w:t>：由国家财政部负责发行，确保国家信用背书。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发行方式</w:t>
      </w:r>
      <w:r>
        <w:t>：通过银行、证券公司等渠道公开发行。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发行频率</w:t>
      </w:r>
      <w:r>
        <w:t>：根据国家财政需求，每年定期或不定期发行。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税收政策</w:t>
      </w:r>
      <w:r>
        <w:t>：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免税政策</w:t>
      </w:r>
      <w:r>
        <w:t>：部分国债利息收入免征个人所得税，提高实际收益。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税收优惠</w:t>
      </w:r>
      <w:r>
        <w:t>：对特定类型的国债提供税收减免政策，鼓励投资。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投资者保护政策</w:t>
      </w:r>
      <w:r>
        <w:t>：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信息披露</w:t>
      </w:r>
      <w:r>
        <w:t>：发行机构需按规定披露国债发行信息和资金用途。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风险提示</w:t>
      </w:r>
      <w:r>
        <w:t>：银行和证券公司需向投资者提供风险提示，确保投资者知情权。</w:t>
      </w:r>
    </w:p>
    <w:p>
      <w:pPr>
        <w:pStyle w:val="2"/>
        <w:keepNext w:val="0"/>
        <w:keepLines w:val="0"/>
        <w:widowControl/>
        <w:suppressLineNumbers w:val="0"/>
      </w:pPr>
      <w:r>
        <w:t>参考资料</w:t>
      </w:r>
    </w:p>
    <w:p>
      <w:pPr>
        <w:pStyle w:val="5"/>
        <w:keepNext w:val="0"/>
        <w:keepLines w:val="0"/>
        <w:widowControl/>
        <w:suppressLineNumbers w:val="0"/>
      </w:pPr>
      <w:r>
        <w:t>以下是用于构建中国邮政金融业务知识库的一些参考资料：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中国邮政储蓄银行官方网站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中国银保监会官方网站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财政部官方网站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各大银行的金融产品介绍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5C671"/>
    <w:multiLevelType w:val="multilevel"/>
    <w:tmpl w:val="8165C6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6A8BD1"/>
    <w:multiLevelType w:val="multilevel"/>
    <w:tmpl w:val="886A8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95A05DC"/>
    <w:multiLevelType w:val="multilevel"/>
    <w:tmpl w:val="895A05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86C27E"/>
    <w:multiLevelType w:val="multilevel"/>
    <w:tmpl w:val="9686C2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8BB3FCE"/>
    <w:multiLevelType w:val="multilevel"/>
    <w:tmpl w:val="98BB3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2315282"/>
    <w:multiLevelType w:val="multilevel"/>
    <w:tmpl w:val="A2315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3BA99A0"/>
    <w:multiLevelType w:val="multilevel"/>
    <w:tmpl w:val="A3BA99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9954178"/>
    <w:multiLevelType w:val="multilevel"/>
    <w:tmpl w:val="A9954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74EB7B1"/>
    <w:multiLevelType w:val="multilevel"/>
    <w:tmpl w:val="B74EB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8C8F44F"/>
    <w:multiLevelType w:val="multilevel"/>
    <w:tmpl w:val="B8C8F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A656F07"/>
    <w:multiLevelType w:val="multilevel"/>
    <w:tmpl w:val="BA656F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2C99DB3"/>
    <w:multiLevelType w:val="multilevel"/>
    <w:tmpl w:val="C2C99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3EACE55"/>
    <w:multiLevelType w:val="multilevel"/>
    <w:tmpl w:val="C3EACE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410AAED"/>
    <w:multiLevelType w:val="multilevel"/>
    <w:tmpl w:val="C410A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6A8FC7A"/>
    <w:multiLevelType w:val="multilevel"/>
    <w:tmpl w:val="C6A8FC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DD8D27C"/>
    <w:multiLevelType w:val="multilevel"/>
    <w:tmpl w:val="CDD8D2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15FBA2B"/>
    <w:multiLevelType w:val="multilevel"/>
    <w:tmpl w:val="D15FBA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2E9AF2F"/>
    <w:multiLevelType w:val="multilevel"/>
    <w:tmpl w:val="D2E9AF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549E45A"/>
    <w:multiLevelType w:val="multilevel"/>
    <w:tmpl w:val="D549E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9A7C0A7"/>
    <w:multiLevelType w:val="multilevel"/>
    <w:tmpl w:val="D9A7C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A325A5B"/>
    <w:multiLevelType w:val="multilevel"/>
    <w:tmpl w:val="DA325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AFDD039"/>
    <w:multiLevelType w:val="multilevel"/>
    <w:tmpl w:val="DAFDD0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BDDA5DE"/>
    <w:multiLevelType w:val="multilevel"/>
    <w:tmpl w:val="DBDDA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DC37F17B"/>
    <w:multiLevelType w:val="multilevel"/>
    <w:tmpl w:val="DC37F1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FE68F06"/>
    <w:multiLevelType w:val="multilevel"/>
    <w:tmpl w:val="DFE68F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0484595"/>
    <w:multiLevelType w:val="multilevel"/>
    <w:tmpl w:val="E04845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E0DD4E29"/>
    <w:multiLevelType w:val="multilevel"/>
    <w:tmpl w:val="E0DD4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E753D8AD"/>
    <w:multiLevelType w:val="multilevel"/>
    <w:tmpl w:val="E753D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E766CEA8"/>
    <w:multiLevelType w:val="multilevel"/>
    <w:tmpl w:val="E766C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E79C3474"/>
    <w:multiLevelType w:val="multilevel"/>
    <w:tmpl w:val="E79C34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E90F2B74"/>
    <w:multiLevelType w:val="multilevel"/>
    <w:tmpl w:val="E90F2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EB56DF70"/>
    <w:multiLevelType w:val="multilevel"/>
    <w:tmpl w:val="EB56DF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ECBDE089"/>
    <w:multiLevelType w:val="multilevel"/>
    <w:tmpl w:val="ECBDE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ED13A76A"/>
    <w:multiLevelType w:val="multilevel"/>
    <w:tmpl w:val="ED13A7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A43129D"/>
    <w:multiLevelType w:val="multilevel"/>
    <w:tmpl w:val="FA4312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0092E882"/>
    <w:multiLevelType w:val="multilevel"/>
    <w:tmpl w:val="0092E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00A0D333"/>
    <w:multiLevelType w:val="multilevel"/>
    <w:tmpl w:val="00A0D3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0E476E6B"/>
    <w:multiLevelType w:val="multilevel"/>
    <w:tmpl w:val="0E476E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0E9BB9C6"/>
    <w:multiLevelType w:val="multilevel"/>
    <w:tmpl w:val="0E9BB9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1D4674D9"/>
    <w:multiLevelType w:val="multilevel"/>
    <w:tmpl w:val="1D467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1DAE0A89"/>
    <w:multiLevelType w:val="multilevel"/>
    <w:tmpl w:val="1DAE0A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245098BF"/>
    <w:multiLevelType w:val="multilevel"/>
    <w:tmpl w:val="245098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24CC99AD"/>
    <w:multiLevelType w:val="multilevel"/>
    <w:tmpl w:val="24CC9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28EA793E"/>
    <w:multiLevelType w:val="multilevel"/>
    <w:tmpl w:val="28EA7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2D16C7C4"/>
    <w:multiLevelType w:val="multilevel"/>
    <w:tmpl w:val="2D16C7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2F763999"/>
    <w:multiLevelType w:val="multilevel"/>
    <w:tmpl w:val="2F7639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2FE64D28"/>
    <w:multiLevelType w:val="multilevel"/>
    <w:tmpl w:val="2FE64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3153EA51"/>
    <w:multiLevelType w:val="multilevel"/>
    <w:tmpl w:val="3153EA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35E89C8C"/>
    <w:multiLevelType w:val="multilevel"/>
    <w:tmpl w:val="35E89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366A62CD"/>
    <w:multiLevelType w:val="multilevel"/>
    <w:tmpl w:val="366A62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3C09A023"/>
    <w:multiLevelType w:val="multilevel"/>
    <w:tmpl w:val="3C09A0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422AD16C"/>
    <w:multiLevelType w:val="multilevel"/>
    <w:tmpl w:val="422AD1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48DA44C0"/>
    <w:multiLevelType w:val="multilevel"/>
    <w:tmpl w:val="48DA44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4C8E89CD"/>
    <w:multiLevelType w:val="multilevel"/>
    <w:tmpl w:val="4C8E89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50C735D9"/>
    <w:multiLevelType w:val="multilevel"/>
    <w:tmpl w:val="50C735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5EE90E66"/>
    <w:multiLevelType w:val="multilevel"/>
    <w:tmpl w:val="5EE90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61E8BA54"/>
    <w:multiLevelType w:val="multilevel"/>
    <w:tmpl w:val="61E8BA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63B0E369"/>
    <w:multiLevelType w:val="multilevel"/>
    <w:tmpl w:val="63B0E3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65D20518"/>
    <w:multiLevelType w:val="multilevel"/>
    <w:tmpl w:val="65D205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68D8631C"/>
    <w:multiLevelType w:val="multilevel"/>
    <w:tmpl w:val="68D863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691457A3"/>
    <w:multiLevelType w:val="multilevel"/>
    <w:tmpl w:val="691457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6A633AE8"/>
    <w:multiLevelType w:val="multilevel"/>
    <w:tmpl w:val="6A633A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6ACC2A43"/>
    <w:multiLevelType w:val="multilevel"/>
    <w:tmpl w:val="6ACC2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6AD6DE24"/>
    <w:multiLevelType w:val="multilevel"/>
    <w:tmpl w:val="6AD6D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6BD5EB5C"/>
    <w:multiLevelType w:val="multilevel"/>
    <w:tmpl w:val="6BD5E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6CD38B8E"/>
    <w:multiLevelType w:val="multilevel"/>
    <w:tmpl w:val="6CD38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6F6C5344"/>
    <w:multiLevelType w:val="multilevel"/>
    <w:tmpl w:val="6F6C53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7799EF45"/>
    <w:multiLevelType w:val="multilevel"/>
    <w:tmpl w:val="7799EF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5"/>
  </w:num>
  <w:num w:numId="2">
    <w:abstractNumId w:val="37"/>
  </w:num>
  <w:num w:numId="3">
    <w:abstractNumId w:val="28"/>
  </w:num>
  <w:num w:numId="4">
    <w:abstractNumId w:val="38"/>
  </w:num>
  <w:num w:numId="5">
    <w:abstractNumId w:val="47"/>
  </w:num>
  <w:num w:numId="6">
    <w:abstractNumId w:val="50"/>
  </w:num>
  <w:num w:numId="7">
    <w:abstractNumId w:val="17"/>
  </w:num>
  <w:num w:numId="8">
    <w:abstractNumId w:val="61"/>
  </w:num>
  <w:num w:numId="9">
    <w:abstractNumId w:val="66"/>
  </w:num>
  <w:num w:numId="10">
    <w:abstractNumId w:val="63"/>
  </w:num>
  <w:num w:numId="11">
    <w:abstractNumId w:val="53"/>
  </w:num>
  <w:num w:numId="12">
    <w:abstractNumId w:val="56"/>
  </w:num>
  <w:num w:numId="13">
    <w:abstractNumId w:val="29"/>
  </w:num>
  <w:num w:numId="14">
    <w:abstractNumId w:val="40"/>
  </w:num>
  <w:num w:numId="15">
    <w:abstractNumId w:val="34"/>
  </w:num>
  <w:num w:numId="16">
    <w:abstractNumId w:val="30"/>
  </w:num>
  <w:num w:numId="17">
    <w:abstractNumId w:val="45"/>
  </w:num>
  <w:num w:numId="18">
    <w:abstractNumId w:val="12"/>
  </w:num>
  <w:num w:numId="19">
    <w:abstractNumId w:val="59"/>
  </w:num>
  <w:num w:numId="20">
    <w:abstractNumId w:val="24"/>
  </w:num>
  <w:num w:numId="21">
    <w:abstractNumId w:val="39"/>
  </w:num>
  <w:num w:numId="22">
    <w:abstractNumId w:val="32"/>
  </w:num>
  <w:num w:numId="23">
    <w:abstractNumId w:val="64"/>
  </w:num>
  <w:num w:numId="24">
    <w:abstractNumId w:val="52"/>
  </w:num>
  <w:num w:numId="25">
    <w:abstractNumId w:val="27"/>
  </w:num>
  <w:num w:numId="26">
    <w:abstractNumId w:val="18"/>
  </w:num>
  <w:num w:numId="27">
    <w:abstractNumId w:val="44"/>
  </w:num>
  <w:num w:numId="28">
    <w:abstractNumId w:val="14"/>
  </w:num>
  <w:num w:numId="29">
    <w:abstractNumId w:val="67"/>
  </w:num>
  <w:num w:numId="30">
    <w:abstractNumId w:val="22"/>
  </w:num>
  <w:num w:numId="31">
    <w:abstractNumId w:val="51"/>
  </w:num>
  <w:num w:numId="32">
    <w:abstractNumId w:val="26"/>
  </w:num>
  <w:num w:numId="33">
    <w:abstractNumId w:val="20"/>
  </w:num>
  <w:num w:numId="34">
    <w:abstractNumId w:val="49"/>
  </w:num>
  <w:num w:numId="35">
    <w:abstractNumId w:val="35"/>
  </w:num>
  <w:num w:numId="36">
    <w:abstractNumId w:val="7"/>
  </w:num>
  <w:num w:numId="37">
    <w:abstractNumId w:val="5"/>
  </w:num>
  <w:num w:numId="38">
    <w:abstractNumId w:val="0"/>
  </w:num>
  <w:num w:numId="39">
    <w:abstractNumId w:val="16"/>
  </w:num>
  <w:num w:numId="40">
    <w:abstractNumId w:val="57"/>
  </w:num>
  <w:num w:numId="41">
    <w:abstractNumId w:val="36"/>
  </w:num>
  <w:num w:numId="42">
    <w:abstractNumId w:val="11"/>
  </w:num>
  <w:num w:numId="43">
    <w:abstractNumId w:val="42"/>
  </w:num>
  <w:num w:numId="44">
    <w:abstractNumId w:val="55"/>
  </w:num>
  <w:num w:numId="45">
    <w:abstractNumId w:val="15"/>
  </w:num>
  <w:num w:numId="46">
    <w:abstractNumId w:val="2"/>
  </w:num>
  <w:num w:numId="47">
    <w:abstractNumId w:val="19"/>
  </w:num>
  <w:num w:numId="48">
    <w:abstractNumId w:val="10"/>
  </w:num>
  <w:num w:numId="49">
    <w:abstractNumId w:val="62"/>
  </w:num>
  <w:num w:numId="50">
    <w:abstractNumId w:val="41"/>
  </w:num>
  <w:num w:numId="51">
    <w:abstractNumId w:val="54"/>
  </w:num>
  <w:num w:numId="52">
    <w:abstractNumId w:val="6"/>
  </w:num>
  <w:num w:numId="53">
    <w:abstractNumId w:val="3"/>
  </w:num>
  <w:num w:numId="54">
    <w:abstractNumId w:val="21"/>
  </w:num>
  <w:num w:numId="55">
    <w:abstractNumId w:val="33"/>
  </w:num>
  <w:num w:numId="56">
    <w:abstractNumId w:val="48"/>
  </w:num>
  <w:num w:numId="57">
    <w:abstractNumId w:val="1"/>
  </w:num>
  <w:num w:numId="58">
    <w:abstractNumId w:val="9"/>
  </w:num>
  <w:num w:numId="59">
    <w:abstractNumId w:val="23"/>
  </w:num>
  <w:num w:numId="60">
    <w:abstractNumId w:val="58"/>
  </w:num>
  <w:num w:numId="61">
    <w:abstractNumId w:val="8"/>
  </w:num>
  <w:num w:numId="62">
    <w:abstractNumId w:val="46"/>
  </w:num>
  <w:num w:numId="63">
    <w:abstractNumId w:val="43"/>
  </w:num>
  <w:num w:numId="64">
    <w:abstractNumId w:val="60"/>
  </w:num>
  <w:num w:numId="65">
    <w:abstractNumId w:val="25"/>
  </w:num>
  <w:num w:numId="66">
    <w:abstractNumId w:val="4"/>
  </w:num>
  <w:num w:numId="67">
    <w:abstractNumId w:val="31"/>
  </w:num>
  <w:num w:numId="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M1MzdmYzVhOTQ5ZGZiNWE2Nzk2OWYzNzI4Mjg3OTcifQ=="/>
  </w:docVars>
  <w:rsids>
    <w:rsidRoot w:val="00000000"/>
    <w:rsid w:val="5D70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176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2024-07-09T06:24:54Z</dcterms:created>
  <dc:creator>jay</dc:creator>
  <cp:lastModifiedBy>刘杰</cp:lastModifiedBy>
  <dcterms:modified xsi:type="dcterms:W3CDTF">2024-07-09T09:21:49Z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F0B6DABEB79344E3BBF6576BF34C0B0F_12</vt:lpwstr>
  </property>
</Properties>
</file>