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</w:t>
            </w:r>
            <w:r w:rsidR="00F06BF6" w:rsidRPr="00336198">
              <w:t>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  <w:r w:rsidR="001148FC">
        <w:t xml:space="preserve"> </w:t>
      </w:r>
      <w:r w:rsidR="001148FC">
        <w:rPr>
          <w:lang w:val="en-US"/>
        </w:rPr>
        <w:t>[</w:t>
      </w:r>
      <w:proofErr w:type="spellStart"/>
      <w:r w:rsidR="001148FC">
        <w:t>АКомпоненты_описание</w:t>
      </w:r>
      <w:proofErr w:type="spellEnd"/>
      <w:r w:rsidR="001148FC">
        <w:rPr>
          <w:lang w:val="en-US"/>
        </w:rPr>
        <w:t>]</w:t>
      </w:r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dev.devices.iddevices</w:t>
            </w:r>
            <w:proofErr w:type="spellEnd"/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1148F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proofErr w:type="spellStart"/>
            <w:r w:rsidR="00977D98">
              <w:rPr>
                <w:lang w:val="en-US"/>
              </w:rPr>
              <w:t>dev</w:t>
            </w:r>
            <w:proofErr w:type="spellEnd"/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lastRenderedPageBreak/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 xml:space="preserve"> из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proofErr w:type="spellStart"/>
            <w:r>
              <w:rPr>
                <w:lang w:val="en-US"/>
              </w:rPr>
              <w:t>whnum</w:t>
            </w:r>
            <w:proofErr w:type="spellEnd"/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proofErr w:type="spellStart"/>
            <w:r>
              <w:rPr>
                <w:lang w:val="en-US"/>
              </w:rPr>
              <w:t>placetype</w:t>
            </w:r>
            <w:proofErr w:type="spellEnd"/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idwhplacetypes</w:t>
            </w:r>
            <w:proofErr w:type="spellEnd"/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proofErr w:type="spellStart"/>
            <w:r>
              <w:rPr>
                <w:lang w:val="en-US"/>
              </w:rPr>
              <w:t>whplacetypes</w:t>
            </w:r>
            <w:proofErr w:type="spellEnd"/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proofErr w:type="spellStart"/>
      <w:r w:rsidR="00E0656E">
        <w:rPr>
          <w:lang w:val="en-US"/>
        </w:rPr>
        <w:t>wh</w:t>
      </w:r>
      <w:proofErr w:type="spellEnd"/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proofErr w:type="spellStart"/>
      <w:r>
        <w:rPr>
          <w:lang w:val="en-US"/>
        </w:rPr>
        <w:t>whplacetypes</w:t>
      </w:r>
      <w:proofErr w:type="spellEnd"/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proofErr w:type="spellStart"/>
      <w:r>
        <w:rPr>
          <w:lang w:val="en-US"/>
        </w:rPr>
        <w:t>idwhplaces</w:t>
      </w:r>
      <w:proofErr w:type="spellEnd"/>
      <w:r w:rsidRPr="009477A4">
        <w:t>=&lt;</w:t>
      </w:r>
      <w:proofErr w:type="spellStart"/>
      <w:r>
        <w:rPr>
          <w:lang w:val="en-US"/>
        </w:rPr>
        <w:t>newID</w:t>
      </w:r>
      <w:proofErr w:type="spellEnd"/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proofErr w:type="spellStart"/>
      <w:r w:rsidRPr="009477A4">
        <w:rPr>
          <w:lang w:val="en-US"/>
        </w:rPr>
        <w:t>placetype</w:t>
      </w:r>
      <w:proofErr w:type="spellEnd"/>
      <w:r>
        <w:t xml:space="preserve"> заносится </w:t>
      </w:r>
      <w:proofErr w:type="spellStart"/>
      <w:r w:rsidRPr="009477A4">
        <w:rPr>
          <w:lang w:val="en-US"/>
        </w:rPr>
        <w:t>idwhplacetypes</w:t>
      </w:r>
      <w:proofErr w:type="spellEnd"/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alias</w:t>
      </w:r>
      <w:proofErr w:type="gramEnd"/>
      <w:r>
        <w:rPr>
          <w:lang w:val="en-US"/>
        </w:rPr>
        <w:t xml:space="preserve"> = </w:t>
      </w:r>
      <w:proofErr w:type="spellStart"/>
      <w:r w:rsidR="003C1FBB">
        <w:rPr>
          <w:lang w:val="en-US"/>
        </w:rPr>
        <w:t>whplacetanks.whplacetanks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idalias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</w:t>
      </w:r>
      <w:proofErr w:type="gramStart"/>
      <w:r w:rsidR="00F11121">
        <w:rPr>
          <w:lang w:val="en-US"/>
        </w:rPr>
        <w:t>col</w:t>
      </w:r>
      <w:proofErr w:type="gramEnd"/>
      <w:r w:rsidR="00F11121">
        <w:rPr>
          <w:lang w:val="en-US"/>
        </w:rPr>
        <w:t xml:space="preserve">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wh</w:t>
      </w:r>
      <w:proofErr w:type="spellEnd"/>
      <w:proofErr w:type="gramEnd"/>
      <w:r>
        <w:rPr>
          <w:lang w:val="en-US"/>
        </w:rPr>
        <w:t xml:space="preserve"> = &lt;parent&gt;.</w:t>
      </w: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placetype</w:t>
      </w:r>
      <w:proofErr w:type="spellEnd"/>
      <w:proofErr w:type="gramEnd"/>
      <w:r>
        <w:rPr>
          <w:lang w:val="en-US"/>
        </w:rPr>
        <w:t xml:space="preserve">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proofErr w:type="spellStart"/>
      <w:proofErr w:type="gramStart"/>
      <w:r>
        <w:rPr>
          <w:lang w:val="en-US"/>
        </w:rPr>
        <w:t>whnum</w:t>
      </w:r>
      <w:proofErr w:type="spellEnd"/>
      <w:proofErr w:type="gramEnd"/>
      <w:r>
        <w:rPr>
          <w:lang w:val="en-US"/>
        </w:rPr>
        <w:t xml:space="preserve"> = </w:t>
      </w:r>
      <w:r w:rsidR="00E912C0">
        <w:rPr>
          <w:lang w:val="en-US"/>
        </w:rPr>
        <w:t>row*</w:t>
      </w:r>
      <w:proofErr w:type="spellStart"/>
      <w:r w:rsidR="00E912C0">
        <w:rPr>
          <w:lang w:val="en-US"/>
        </w:rPr>
        <w:t>columns+column</w:t>
      </w:r>
      <w:proofErr w:type="spellEnd"/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proofErr w:type="spellStart"/>
      <w:proofErr w:type="gramStart"/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  <w:proofErr w:type="spellEnd"/>
      <w:proofErr w:type="gramEnd"/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proofErr w:type="spellStart"/>
      <w:r w:rsidR="003525DF">
        <w:rPr>
          <w:lang w:val="en-US"/>
        </w:rPr>
        <w:t>whplaces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proofErr w:type="spellStart"/>
            <w:r>
              <w:rPr>
                <w:lang w:val="en-US"/>
              </w:rPr>
              <w:t>whplacetypes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  <w:proofErr w:type="spellEnd"/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2757D0" w:rsidRDefault="002757D0" w:rsidP="002757D0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depts</w:t>
      </w:r>
      <w:proofErr w:type="spellEnd"/>
      <w:proofErr w:type="gramEnd"/>
      <w:r>
        <w:rPr>
          <w:lang w:val="en-US"/>
        </w:rPr>
        <w:t xml:space="preserve">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ackreq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 xml:space="preserve">Системные сообщения генерируются сервером </w:t>
      </w:r>
      <w:proofErr w:type="spellStart"/>
      <w:r>
        <w:t>СУПиК</w:t>
      </w:r>
      <w:proofErr w:type="spellEnd"/>
      <w:r>
        <w:t xml:space="preserve">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 xml:space="preserve">- наличие обновлений программного обеспечения </w:t>
      </w:r>
      <w:proofErr w:type="spellStart"/>
      <w:r>
        <w:t>СУПиК</w:t>
      </w:r>
      <w:proofErr w:type="spellEnd"/>
      <w:r>
        <w:t>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 xml:space="preserve">- сообщения системного администратора </w:t>
      </w:r>
      <w:proofErr w:type="spellStart"/>
      <w:r>
        <w:t>СУПиК</w:t>
      </w:r>
      <w:proofErr w:type="spellEnd"/>
      <w:r w:rsidR="006B784B">
        <w:t>.</w:t>
      </w:r>
    </w:p>
    <w:p w:rsidR="003F066C" w:rsidRDefault="003F066C" w:rsidP="002C2BD6">
      <w:r>
        <w:t xml:space="preserve">У системных сообщений ИД отправителя </w:t>
      </w:r>
      <w:proofErr w:type="gramStart"/>
      <w:r>
        <w:t>равен</w:t>
      </w:r>
      <w:proofErr w:type="gramEnd"/>
      <w:r>
        <w:t xml:space="preserve"> 0. Остальные сообщения посылаются в клиенте </w:t>
      </w:r>
      <w:proofErr w:type="spellStart"/>
      <w:r>
        <w:t>СУПиК</w:t>
      </w:r>
      <w:proofErr w:type="spellEnd"/>
      <w:r>
        <w:t xml:space="preserve">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proofErr w:type="spellStart"/>
      <w:r>
        <w:rPr>
          <w:lang w:val="en-US"/>
        </w:rPr>
        <w:t>supik</w:t>
      </w:r>
      <w:proofErr w:type="spellEnd"/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proofErr w:type="spellStart"/>
      <w:r>
        <w:t>ггммдд</w:t>
      </w:r>
      <w:proofErr w:type="spellEnd"/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</w:t>
      </w:r>
      <w:proofErr w:type="spellStart"/>
      <w:r>
        <w:t>СУПиК</w:t>
      </w:r>
      <w:proofErr w:type="spellEnd"/>
      <w:r>
        <w:t xml:space="preserve">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proofErr w:type="spellStart"/>
      <w:r w:rsidR="003F066C">
        <w:rPr>
          <w:lang w:val="en-US"/>
        </w:rPr>
        <w:t>fa</w:t>
      </w:r>
      <w:proofErr w:type="spellEnd"/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proofErr w:type="spellStart"/>
      <w:r w:rsidR="003F066C">
        <w:rPr>
          <w:lang w:val="en-US"/>
        </w:rPr>
        <w:t>bd</w:t>
      </w:r>
      <w:proofErr w:type="spellEnd"/>
      <w:r w:rsidR="003F066C" w:rsidRPr="003F066C">
        <w:t>0380</w:t>
      </w:r>
      <w:proofErr w:type="spellStart"/>
      <w:r w:rsidR="003F066C">
        <w:rPr>
          <w:lang w:val="en-US"/>
        </w:rPr>
        <w:t>ea</w:t>
      </w:r>
      <w:proofErr w:type="spellEnd"/>
      <w:r w:rsidR="003F066C" w:rsidRPr="003F066C">
        <w:t>0980</w:t>
      </w:r>
      <w:proofErr w:type="spellStart"/>
      <w:r w:rsidR="003F066C">
        <w:rPr>
          <w:lang w:val="en-US"/>
        </w:rPr>
        <w:t>ff</w:t>
      </w:r>
      <w:proofErr w:type="spellEnd"/>
      <w:r w:rsidR="003F066C" w:rsidRPr="003F066C">
        <w:t>093</w:t>
      </w:r>
      <w:r w:rsidR="003F066C">
        <w:t xml:space="preserve">. При приёме </w:t>
      </w:r>
      <w:proofErr w:type="gramStart"/>
      <w:r w:rsidR="003F066C">
        <w:t>файла</w:t>
      </w:r>
      <w:proofErr w:type="gramEnd"/>
      <w:r w:rsidR="003F066C">
        <w:t xml:space="preserve">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proofErr w:type="spellStart"/>
      <w:r>
        <w:rPr>
          <w:lang w:val="en-US"/>
        </w:rPr>
        <w:t>messagehistory</w:t>
      </w:r>
      <w:proofErr w:type="spellEnd"/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proofErr w:type="spellStart"/>
      <w:proofErr w:type="gramStart"/>
      <w:r w:rsidRPr="00C7500C">
        <w:rPr>
          <w:lang w:val="en-US"/>
        </w:rPr>
        <w:t>messages</w:t>
      </w:r>
      <w:r>
        <w:rPr>
          <w:lang w:val="en-US"/>
        </w:rPr>
        <w:t>history</w:t>
      </w:r>
      <w:proofErr w:type="spellEnd"/>
      <w:proofErr w:type="gramEnd"/>
      <w:r w:rsidRPr="006B784B">
        <w:t xml:space="preserve"> [</w:t>
      </w:r>
      <w:proofErr w:type="spellStart"/>
      <w:r>
        <w:t>Сообщ</w:t>
      </w:r>
      <w:proofErr w:type="spellEnd"/>
      <w:r>
        <w:t xml:space="preserve">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persmask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D549E0" w:rsidRDefault="00560E54" w:rsidP="00560E54">
      <w:r>
        <w:t xml:space="preserve">Список </w:t>
      </w:r>
      <w:r w:rsidR="002757D0">
        <w:t>сотрудников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D549E0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fullfio</w:t>
            </w:r>
            <w:proofErr w:type="spellEnd"/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proofErr w:type="gramStart"/>
            <w:r>
              <w:t>Полные</w:t>
            </w:r>
            <w:proofErr w:type="gramEnd"/>
            <w:r>
              <w:t xml:space="preserve">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home_e</w:t>
            </w:r>
            <w:proofErr w:type="spellEnd"/>
            <w:r>
              <w:rPr>
                <w:lang w:val="en-US"/>
              </w:rPr>
              <w:t>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b w:val="0"/>
                <w:sz w:val="22"/>
                <w:szCs w:val="22"/>
              </w:rPr>
              <w:t>домашний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</w:t>
            </w:r>
            <w:proofErr w:type="gramStart"/>
            <w:r w:rsidR="00AD2DB4">
              <w:rPr>
                <w:b w:val="0"/>
                <w:sz w:val="22"/>
                <w:szCs w:val="22"/>
              </w:rPr>
              <w:t>мобильный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perstabnum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Таб</w:t>
            </w:r>
            <w:proofErr w:type="spellEnd"/>
            <w:proofErr w:type="gramEnd"/>
            <w:r>
              <w:rPr>
                <w:b w:val="0"/>
                <w:sz w:val="22"/>
                <w:szCs w:val="22"/>
              </w:rPr>
              <w:t xml:space="preserve">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  <w:proofErr w:type="spellEnd"/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deptchief</w:t>
            </w:r>
            <w:proofErr w:type="spellEnd"/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perspsw</w:t>
      </w:r>
      <w:proofErr w:type="spellEnd"/>
      <w:proofErr w:type="gramEnd"/>
      <w:r w:rsidR="00DC11B2">
        <w:rPr>
          <w:lang w:val="en-US"/>
        </w:rPr>
        <w:t xml:space="preserve"> [</w:t>
      </w:r>
      <w:r w:rsidR="00DC11B2">
        <w:t>Пароли</w:t>
      </w:r>
      <w:r w:rsidR="00DC11B2">
        <w:rPr>
          <w:lang w:val="en-US"/>
        </w:rPr>
        <w:t>]</w:t>
      </w:r>
    </w:p>
    <w:p w:rsidR="00180D2E" w:rsidRDefault="00180D2E" w:rsidP="00180D2E">
      <w:r>
        <w:t xml:space="preserve">Список паролей доступа персонала к системе </w:t>
      </w:r>
      <w:proofErr w:type="spellStart"/>
      <w:r>
        <w:t>СУПиК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DC11B2" w:rsidRDefault="00180D2E" w:rsidP="00621843">
            <w:pPr>
              <w:pStyle w:val="aa"/>
            </w:pPr>
            <w:r>
              <w:t>Пароль доступа</w:t>
            </w:r>
            <w:r w:rsidR="00DC11B2" w:rsidRPr="001148FC">
              <w:t xml:space="preserve"> </w:t>
            </w:r>
            <w:r w:rsidR="00DC11B2">
              <w:t xml:space="preserve">к </w:t>
            </w:r>
            <w:proofErr w:type="spellStart"/>
            <w:r w:rsidR="00DC11B2">
              <w:t>СУПиК</w:t>
            </w:r>
            <w:proofErr w:type="spellEnd"/>
            <w:r w:rsidR="00DC11B2">
              <w:t xml:space="preserve"> в зашифрованном виде</w:t>
            </w:r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lastRenderedPageBreak/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1148FC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="009F5B2C">
        <w:rPr>
          <w:lang w:val="en-US"/>
        </w:rPr>
        <w:t>rw</w:t>
      </w:r>
      <w:r w:rsidRPr="004410F0">
        <w:rPr>
          <w:lang w:val="en-US"/>
        </w:rPr>
        <w:t>rw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proofErr w:type="spellStart"/>
      <w:r w:rsidR="009F5B2C">
        <w:t>Булевое</w:t>
      </w:r>
      <w:proofErr w:type="spellEnd"/>
      <w:r w:rsidR="009F5B2C">
        <w:t xml:space="preserve">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lastRenderedPageBreak/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proofErr w:type="spellStart"/>
            <w:r w:rsidRPr="0003589D">
              <w:rPr>
                <w:b w:val="0"/>
              </w:rPr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filehw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  <w:rPr>
                <w:lang w:val="en-US"/>
              </w:rPr>
            </w:pPr>
            <w:r>
              <w:t>Файл с проектом устройства</w:t>
            </w:r>
            <w:r w:rsidRPr="006045CC">
              <w:t xml:space="preserve"> </w:t>
            </w:r>
            <w:r>
              <w:t xml:space="preserve">в </w:t>
            </w:r>
            <w:proofErr w:type="spellStart"/>
            <w:r>
              <w:t>инж</w:t>
            </w:r>
            <w:proofErr w:type="spellEnd"/>
            <w:r>
              <w:t xml:space="preserve">. САПР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file3d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>Файл с 3</w:t>
            </w:r>
            <w:r>
              <w:rPr>
                <w:lang w:val="en-US"/>
              </w:rPr>
              <w:t>D</w:t>
            </w:r>
            <w:r>
              <w:t xml:space="preserve">-моделью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model</w:t>
            </w:r>
            <w:r w:rsidRPr="006045CC"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filesw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 xml:space="preserve">Файл с программным обеспечением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soft</w:t>
            </w:r>
            <w:r w:rsidRPr="006045CC">
              <w:t>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45CC" w:rsidRDefault="006045CC" w:rsidP="00C2008F">
            <w:pPr>
              <w:pStyle w:val="a5"/>
            </w:pPr>
            <w:proofErr w:type="spellStart"/>
            <w:r>
              <w:rPr>
                <w:lang w:val="en-US"/>
              </w:rPr>
              <w:t>idsp</w:t>
            </w:r>
            <w:proofErr w:type="spellEnd"/>
          </w:p>
        </w:tc>
        <w:tc>
          <w:tcPr>
            <w:tcW w:w="2693" w:type="dxa"/>
          </w:tcPr>
          <w:p w:rsidR="0015363C" w:rsidRPr="006045CC" w:rsidRDefault="006045C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dev.sp.idsp</w:t>
            </w:r>
            <w:proofErr w:type="spellEnd"/>
          </w:p>
        </w:tc>
        <w:tc>
          <w:tcPr>
            <w:tcW w:w="9072" w:type="dxa"/>
          </w:tcPr>
          <w:p w:rsidR="0015363C" w:rsidRPr="006045CC" w:rsidRDefault="006045CC" w:rsidP="006045CC">
            <w:pPr>
              <w:pStyle w:val="aa"/>
            </w:pPr>
            <w:r>
              <w:t>ИД спецификации на изделие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45CC" w:rsidRDefault="0015363C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Pr="006045CC" w:rsidRDefault="0015363C" w:rsidP="0015363C">
            <w:pPr>
              <w:pStyle w:val="a5"/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6045CC" w:rsidRDefault="0015363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15363C" w:rsidRPr="006045CC" w:rsidRDefault="0015363C" w:rsidP="00C2008F">
            <w:pPr>
              <w:pStyle w:val="aa"/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6045CC" w:rsidRDefault="00A31CDD" w:rsidP="007A6158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6045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  <w:bookmarkStart w:id="0" w:name="_GoBack"/>
      <w:bookmarkEnd w:id="0"/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lastRenderedPageBreak/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lastRenderedPageBreak/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proofErr w:type="spellStart"/>
      <w:r>
        <w:rPr>
          <w:lang w:val="en-US"/>
        </w:rPr>
        <w:t>tb</w:t>
      </w:r>
      <w:proofErr w:type="spellEnd"/>
      <w:r>
        <w:t xml:space="preserve"> описывает данные, необходимые для работы с подсистемой </w:t>
      </w:r>
      <w:proofErr w:type="spellStart"/>
      <w:r>
        <w:t>СУПиК</w:t>
      </w:r>
      <w:proofErr w:type="spellEnd"/>
      <w:r>
        <w:t xml:space="preserve">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proofErr w:type="gramStart"/>
      <w:r>
        <w:rPr>
          <w:lang w:val="en-US"/>
        </w:rPr>
        <w:t>exam</w:t>
      </w:r>
      <w:r w:rsidRPr="007A3AFC">
        <w:t>-</w:t>
      </w:r>
      <w:proofErr w:type="spellStart"/>
      <w:r>
        <w:rPr>
          <w:lang w:val="en-US"/>
        </w:rPr>
        <w:t>tb</w:t>
      </w:r>
      <w:proofErr w:type="spellEnd"/>
      <w:proofErr w:type="gramEnd"/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idexam-tb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>
              <w:rPr>
                <w:lang w:val="en-US"/>
              </w:rPr>
              <w:t>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proofErr w:type="spellStart"/>
            <w:r w:rsidR="00651104">
              <w:t>Перв</w:t>
            </w:r>
            <w:proofErr w:type="spellEnd"/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DD659A" w:rsidRPr="00364A58" w:rsidRDefault="00DD659A" w:rsidP="00364A58">
      <w:pPr>
        <w:pStyle w:val="3"/>
      </w:pPr>
      <w:proofErr w:type="gramStart"/>
      <w:r w:rsidRPr="00DD659A">
        <w:rPr>
          <w:lang w:val="en-US"/>
        </w:rPr>
        <w:t>exam</w:t>
      </w:r>
      <w:r w:rsidRPr="00364A58">
        <w:t>-</w:t>
      </w:r>
      <w:proofErr w:type="spellStart"/>
      <w:r w:rsidR="00364A58">
        <w:rPr>
          <w:lang w:val="en-US"/>
        </w:rPr>
        <w:t>ot</w:t>
      </w:r>
      <w:proofErr w:type="spellEnd"/>
      <w:proofErr w:type="gramEnd"/>
      <w:r w:rsidRPr="00364A58">
        <w:t xml:space="preserve"> [</w:t>
      </w:r>
      <w:r w:rsidR="002F321B">
        <w:t>Экзамен</w:t>
      </w:r>
      <w:r w:rsidR="002F321B">
        <w:rPr>
          <w:lang w:val="en-US"/>
        </w:rPr>
        <w:t xml:space="preserve"> </w:t>
      </w:r>
      <w:r w:rsidR="00364A58">
        <w:t>ОТ</w:t>
      </w:r>
      <w:r w:rsidRPr="00364A58">
        <w:t>]</w:t>
      </w:r>
    </w:p>
    <w:p w:rsidR="00DD659A" w:rsidRDefault="00DD659A" w:rsidP="00DD659A">
      <w:r>
        <w:t>Список вопросов с вариа</w:t>
      </w:r>
      <w:r w:rsidR="00364A58">
        <w:t xml:space="preserve">нтами ответов для экзамена </w:t>
      </w:r>
      <w:proofErr w:type="gramStart"/>
      <w:r w:rsidR="00364A58">
        <w:t>по</w:t>
      </w:r>
      <w:proofErr w:type="gramEnd"/>
      <w:r w:rsidR="00364A58">
        <w:t xml:space="preserve"> ОТ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DD659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DD659A" w:rsidRPr="00336198" w:rsidRDefault="00DD659A" w:rsidP="003B610A">
            <w:pPr>
              <w:pStyle w:val="a4"/>
            </w:pPr>
            <w:r>
              <w:t>Определение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364A58" w:rsidRDefault="00DD659A" w:rsidP="003B610A">
            <w:pPr>
              <w:pStyle w:val="a5"/>
            </w:pPr>
            <w:proofErr w:type="spellStart"/>
            <w:r>
              <w:rPr>
                <w:lang w:val="en-US"/>
              </w:rPr>
              <w:t>idexam-</w:t>
            </w:r>
            <w:r w:rsidR="00364A58">
              <w:rPr>
                <w:lang w:val="en-US"/>
              </w:rPr>
              <w:t>ot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D549E0" w:rsidRDefault="00DD659A" w:rsidP="003B610A">
            <w:pPr>
              <w:pStyle w:val="aa"/>
            </w:pPr>
            <w:r>
              <w:t>Идентификатор записи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A31CDD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 w:rsidR="00364A58">
              <w:rPr>
                <w:lang w:val="en-US"/>
              </w:rPr>
              <w:t>ot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</w:pPr>
            <w:r>
              <w:t>Содержание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B606E8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364A58" w:rsidRDefault="00DD659A" w:rsidP="00364A58">
            <w:pPr>
              <w:pStyle w:val="aa"/>
              <w:rPr>
                <w:lang w:val="en-US"/>
              </w:rPr>
            </w:pPr>
            <w:r>
              <w:t>Раздел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8A2681" w:rsidRDefault="00DD659A" w:rsidP="003B610A">
            <w:pPr>
              <w:pStyle w:val="aa"/>
            </w:pPr>
            <w:r>
              <w:t>Ответ 1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2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3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3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4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4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5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5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6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6</w:t>
            </w:r>
          </w:p>
        </w:tc>
      </w:tr>
      <w:tr w:rsidR="00FC37BD" w:rsidRPr="00C85CB1" w:rsidTr="000B018D">
        <w:tc>
          <w:tcPr>
            <w:tcW w:w="1900" w:type="dxa"/>
          </w:tcPr>
          <w:p w:rsidR="00FC37BD" w:rsidRPr="0003589D" w:rsidRDefault="00FC37BD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FC37BD" w:rsidRPr="0050046F" w:rsidRDefault="00FC37BD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C37BD" w:rsidRPr="00C85CB1" w:rsidRDefault="00FC37BD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DD659A" w:rsidRPr="0050046F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Default="00DD659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7A3AFC" w:rsidRDefault="007A3AFC" w:rsidP="007A3AFC">
      <w:pPr>
        <w:rPr>
          <w:b/>
          <w:bCs/>
          <w:u w:val="single"/>
        </w:rPr>
      </w:pPr>
    </w:p>
    <w:p w:rsidR="003E6DCC" w:rsidRDefault="003E6DCC" w:rsidP="003E6DCC">
      <w:pPr>
        <w:pStyle w:val="3"/>
      </w:pPr>
      <w:proofErr w:type="gramStart"/>
      <w:r w:rsidRPr="003E6DCC">
        <w:rPr>
          <w:lang w:val="en-US"/>
        </w:rPr>
        <w:t>exam</w:t>
      </w:r>
      <w:r w:rsidR="00946A54">
        <w:t>-</w:t>
      </w:r>
      <w:proofErr w:type="spellStart"/>
      <w:r w:rsidR="00946A54">
        <w:rPr>
          <w:lang w:val="en-US"/>
        </w:rPr>
        <w:t>tb</w:t>
      </w:r>
      <w:proofErr w:type="spellEnd"/>
      <w:r w:rsidR="00946A54" w:rsidRPr="00946A54">
        <w:t>-</w:t>
      </w:r>
      <w:proofErr w:type="spellStart"/>
      <w:r w:rsidR="00946A54">
        <w:rPr>
          <w:lang w:val="en-US"/>
        </w:rPr>
        <w:t>ans</w:t>
      </w:r>
      <w:proofErr w:type="spellEnd"/>
      <w:proofErr w:type="gramEnd"/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</w:t>
            </w:r>
            <w:proofErr w:type="spellEnd"/>
            <w:r w:rsidR="00812A90">
              <w:t>-</w:t>
            </w:r>
            <w:proofErr w:type="spellStart"/>
            <w:r w:rsidR="00812A90">
              <w:rPr>
                <w:lang w:val="en-US"/>
              </w:rPr>
              <w:t>tb-ans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tb</w:t>
            </w:r>
            <w:proofErr w:type="spellEnd"/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  <w:proofErr w:type="spellEnd"/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proofErr w:type="spellStart"/>
      <w:proofErr w:type="gramStart"/>
      <w:r>
        <w:rPr>
          <w:lang w:val="en-US"/>
        </w:rPr>
        <w:t>examresults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 w:rsidR="002F321B">
        <w:t>Экзам</w:t>
      </w:r>
      <w:proofErr w:type="spellEnd"/>
      <w:r w:rsidR="002F321B">
        <w:t xml:space="preserve">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proofErr w:type="spellStart"/>
            <w:r>
              <w:rPr>
                <w:lang w:val="en-US"/>
              </w:rPr>
              <w:t>idexamresults</w:t>
            </w:r>
            <w:proofErr w:type="spellEnd"/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examresults</w:t>
            </w:r>
            <w:proofErr w:type="spellEnd"/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0B018D">
            <w:pPr>
              <w:pStyle w:val="aa"/>
            </w:pPr>
            <w:r>
              <w:t>Раздел экзамена (0 – ОТ, 1 – ТБ3, 2 – ТБ</w:t>
            </w:r>
            <w:proofErr w:type="gramStart"/>
            <w:r>
              <w:t>4</w:t>
            </w:r>
            <w:proofErr w:type="gramEnd"/>
            <w:r>
              <w:t>, 3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364A58" w:rsidRDefault="00364A58" w:rsidP="00364A58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lastRenderedPageBreak/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lastRenderedPageBreak/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1148FC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BA1" w:rsidRDefault="00227BA1" w:rsidP="00084AEE">
      <w:r>
        <w:separator/>
      </w:r>
    </w:p>
  </w:endnote>
  <w:endnote w:type="continuationSeparator" w:id="0">
    <w:p w:rsidR="00227BA1" w:rsidRDefault="00227BA1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5CC" w:rsidRDefault="006045CC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131E33">
      <w:rPr>
        <w:noProof/>
      </w:rPr>
      <w:t>29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BA1" w:rsidRDefault="00227BA1" w:rsidP="00084AEE">
      <w:r>
        <w:separator/>
      </w:r>
    </w:p>
  </w:footnote>
  <w:footnote w:type="continuationSeparator" w:id="0">
    <w:p w:rsidR="00227BA1" w:rsidRDefault="00227BA1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5CC" w:rsidRPr="007E2BB3" w:rsidRDefault="006045CC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33228"/>
    <w:rsid w:val="0003589D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7B3"/>
    <w:rsid w:val="00091C31"/>
    <w:rsid w:val="00091D81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E0C67"/>
    <w:rsid w:val="000E1BB7"/>
    <w:rsid w:val="000E5611"/>
    <w:rsid w:val="000E7289"/>
    <w:rsid w:val="000F6D9F"/>
    <w:rsid w:val="000F6E1C"/>
    <w:rsid w:val="00100226"/>
    <w:rsid w:val="00101E20"/>
    <w:rsid w:val="00103C2C"/>
    <w:rsid w:val="0011420A"/>
    <w:rsid w:val="001148FC"/>
    <w:rsid w:val="0011644B"/>
    <w:rsid w:val="00117CFB"/>
    <w:rsid w:val="001231CA"/>
    <w:rsid w:val="001241C4"/>
    <w:rsid w:val="00130B64"/>
    <w:rsid w:val="00130B66"/>
    <w:rsid w:val="00131E33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27BA1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610A"/>
    <w:rsid w:val="003B6CDD"/>
    <w:rsid w:val="003C1FBB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4ACE"/>
    <w:rsid w:val="00404237"/>
    <w:rsid w:val="00407FEA"/>
    <w:rsid w:val="004128AC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A3356"/>
    <w:rsid w:val="004A558F"/>
    <w:rsid w:val="004A64FE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45CC"/>
    <w:rsid w:val="00605652"/>
    <w:rsid w:val="0060669B"/>
    <w:rsid w:val="00616C4F"/>
    <w:rsid w:val="006206C8"/>
    <w:rsid w:val="00621843"/>
    <w:rsid w:val="0064007C"/>
    <w:rsid w:val="00645559"/>
    <w:rsid w:val="00651104"/>
    <w:rsid w:val="00652EBD"/>
    <w:rsid w:val="00654C78"/>
    <w:rsid w:val="00654CA2"/>
    <w:rsid w:val="00654FD1"/>
    <w:rsid w:val="006558B9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669EE"/>
    <w:rsid w:val="00771374"/>
    <w:rsid w:val="00774681"/>
    <w:rsid w:val="007908E1"/>
    <w:rsid w:val="007A3AFC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012"/>
    <w:rsid w:val="007E6C5D"/>
    <w:rsid w:val="007F4880"/>
    <w:rsid w:val="007F7373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B7387"/>
    <w:rsid w:val="00AC1371"/>
    <w:rsid w:val="00AC1DA5"/>
    <w:rsid w:val="00AC2A0B"/>
    <w:rsid w:val="00AC43C6"/>
    <w:rsid w:val="00AC642C"/>
    <w:rsid w:val="00AC68BB"/>
    <w:rsid w:val="00AD0CBF"/>
    <w:rsid w:val="00AD2DB4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A12D5"/>
    <w:rsid w:val="00DA4BD8"/>
    <w:rsid w:val="00DA7471"/>
    <w:rsid w:val="00DB71DE"/>
    <w:rsid w:val="00DC11B2"/>
    <w:rsid w:val="00DC1623"/>
    <w:rsid w:val="00DC4698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6C58"/>
    <w:rsid w:val="00FD7A7B"/>
    <w:rsid w:val="00FE1569"/>
    <w:rsid w:val="00FE2335"/>
    <w:rsid w:val="00FE31A0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50765-266C-40B7-8D1E-B54C78DC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14665</TotalTime>
  <Pages>1</Pages>
  <Words>6150</Words>
  <Characters>35055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301</cp:revision>
  <dcterms:created xsi:type="dcterms:W3CDTF">2014-04-14T18:17:00Z</dcterms:created>
  <dcterms:modified xsi:type="dcterms:W3CDTF">2016-09-13T19:36:00Z</dcterms:modified>
</cp:coreProperties>
</file>