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299A5">
      <w:pPr>
        <w:rPr>
          <w:rFonts w:hAnsi="宋体"/>
          <w:bCs/>
          <w:szCs w:val="32"/>
        </w:rPr>
      </w:pPr>
      <w:r>
        <w:rPr>
          <w:rFonts w:hint="eastAsia" w:hAnsi="宋体"/>
          <w:bCs/>
          <w:szCs w:val="32"/>
        </w:rPr>
        <w:t>附件3</w:t>
      </w:r>
    </w:p>
    <w:p w14:paraId="553D3511">
      <w:pPr>
        <w:rPr>
          <w:rFonts w:hAnsi="宋体"/>
          <w:bCs/>
          <w:szCs w:val="32"/>
        </w:rPr>
      </w:pPr>
    </w:p>
    <w:p w14:paraId="2829BD1F">
      <w:pPr>
        <w:ind w:left="3051" w:hanging="3052" w:hangingChars="700"/>
        <w:jc w:val="center"/>
        <w:rPr>
          <w:rFonts w:hint="eastAsia" w:ascii="方正小标宋简体" w:hAnsi="黑体" w:eastAsia="方正小标宋简体" w:cs="黑体"/>
          <w:bCs/>
          <w:kern w:val="0"/>
          <w:sz w:val="44"/>
          <w:szCs w:val="44"/>
        </w:rPr>
      </w:pPr>
      <w:r>
        <w:rPr>
          <w:rFonts w:hint="eastAsia" w:ascii="方正小标宋简体" w:hAnsi="黑体" w:eastAsia="方正小标宋简体" w:cs="黑体"/>
          <w:bCs/>
          <w:kern w:val="0"/>
          <w:sz w:val="44"/>
          <w:szCs w:val="44"/>
        </w:rPr>
        <w:t>湖北省大学生创新训练计划申请书</w:t>
      </w:r>
    </w:p>
    <w:p w14:paraId="64490FF9">
      <w:pPr>
        <w:rPr>
          <w:rFonts w:hAnsi="宋体"/>
          <w:bCs/>
          <w:szCs w:val="32"/>
        </w:rPr>
      </w:pPr>
    </w:p>
    <w:p w14:paraId="61F6A8C2">
      <w:pPr>
        <w:rPr>
          <w:rFonts w:hAnsi="宋体"/>
          <w:bCs/>
          <w:szCs w:val="32"/>
        </w:rPr>
      </w:pPr>
    </w:p>
    <w:p w14:paraId="4EB50A7E">
      <w:pPr>
        <w:spacing w:line="800" w:lineRule="exact"/>
        <w:ind w:left="1241" w:leftChars="393" w:right="4"/>
        <w:rPr>
          <w:rFonts w:hint="eastAsia" w:ascii="Cambria" w:hAnsi="Cambria" w:eastAsiaTheme="minorEastAsia"/>
          <w:sz w:val="28"/>
          <w:szCs w:val="28"/>
          <w:u w:val="single"/>
        </w:rPr>
      </w:pPr>
      <w:r>
        <w:rPr>
          <w:rFonts w:hint="eastAsia"/>
          <w:sz w:val="28"/>
          <w:szCs w:val="28"/>
        </w:rPr>
        <w:t>推 荐 学 校</w:t>
      </w:r>
      <w:r>
        <w:rPr>
          <w:rFonts w:hint="eastAsia" w:hAnsi="宋体"/>
          <w:b/>
          <w:sz w:val="28"/>
          <w:szCs w:val="28"/>
          <w:u w:val="single"/>
        </w:rPr>
        <w:t xml:space="preserve">              </w:t>
      </w:r>
      <w:r>
        <w:rPr>
          <w:rFonts w:hint="eastAsia" w:ascii="Cambria" w:hAnsi="Cambria"/>
          <w:b/>
          <w:sz w:val="28"/>
          <w:szCs w:val="28"/>
          <w:u w:val="single"/>
        </w:rPr>
        <w:t xml:space="preserve"> </w:t>
      </w:r>
      <w:r>
        <w:rPr>
          <w:rFonts w:hint="eastAsia" w:hAnsi="宋体"/>
          <w:b/>
          <w:sz w:val="28"/>
          <w:szCs w:val="28"/>
          <w:u w:val="single"/>
        </w:rPr>
        <w:t xml:space="preserve">湖北经济学院            </w:t>
      </w:r>
      <w:r>
        <w:rPr>
          <w:rFonts w:hint="eastAsia" w:hAnsi="宋体"/>
          <w:b/>
          <w:sz w:val="28"/>
          <w:szCs w:val="28"/>
          <w:u w:val="single"/>
          <w:lang w:val="en-US" w:eastAsia="zh-CN"/>
        </w:rPr>
        <w:t xml:space="preserve">  </w:t>
      </w:r>
      <w:r>
        <w:rPr>
          <w:rFonts w:hint="eastAsia" w:hAnsi="宋体"/>
          <w:b/>
          <w:sz w:val="28"/>
          <w:szCs w:val="28"/>
          <w:u w:val="single"/>
        </w:rPr>
        <w:t xml:space="preserve">   </w:t>
      </w:r>
    </w:p>
    <w:p w14:paraId="126072D2">
      <w:pPr>
        <w:spacing w:line="800" w:lineRule="exact"/>
        <w:ind w:right="4" w:firstLine="1242" w:firstLineChars="450"/>
        <w:rPr>
          <w:rFonts w:eastAsia="仿宋"/>
          <w:sz w:val="28"/>
          <w:szCs w:val="28"/>
        </w:rPr>
      </w:pPr>
      <w:r>
        <w:rPr>
          <w:rFonts w:hint="eastAsia"/>
          <w:sz w:val="28"/>
          <w:szCs w:val="28"/>
        </w:rPr>
        <w:t>项 目 名 称</w:t>
      </w:r>
      <w:r>
        <w:rPr>
          <w:rFonts w:eastAsia="仿宋"/>
          <w:sz w:val="28"/>
          <w:szCs w:val="28"/>
          <w:u w:val="single"/>
        </w:rPr>
        <w:t>“灵眸伴宠”-基于STM32的自主伴随宠物式机器人</w:t>
      </w:r>
    </w:p>
    <w:p w14:paraId="19219D1C">
      <w:pPr>
        <w:spacing w:line="800" w:lineRule="exact"/>
        <w:ind w:right="4" w:firstLine="1242" w:firstLineChars="450"/>
        <w:rPr>
          <w:sz w:val="24"/>
        </w:rPr>
      </w:pPr>
      <w:r>
        <w:rPr>
          <w:rFonts w:hint="eastAsia"/>
          <w:sz w:val="28"/>
          <w:szCs w:val="28"/>
        </w:rPr>
        <w:t>项 目 类 型</w:t>
      </w:r>
      <w:r>
        <w:rPr>
          <w:rFonts w:hint="eastAsia"/>
          <w:sz w:val="28"/>
          <w:szCs w:val="28"/>
          <w:u w:val="single"/>
        </w:rPr>
        <w:t xml:space="preserve">   </w:t>
      </w:r>
      <w:r>
        <w:rPr>
          <w:rFonts w:ascii="Segoe UI Symbol" w:hAnsi="Segoe UI Symbol" w:cs="Segoe UI Symbol"/>
          <w:sz w:val="24"/>
          <w:u w:val="single"/>
        </w:rPr>
        <w:t>☑</w:t>
      </w:r>
      <w:r>
        <w:rPr>
          <w:rFonts w:hint="eastAsia"/>
          <w:sz w:val="24"/>
          <w:u w:val="single"/>
        </w:rPr>
        <w:t xml:space="preserve">创新训练项目□创业训练项目□创业实践项目      </w:t>
      </w:r>
    </w:p>
    <w:p w14:paraId="39950534">
      <w:pPr>
        <w:spacing w:line="800" w:lineRule="exact"/>
        <w:ind w:right="4" w:firstLine="1242" w:firstLineChars="450"/>
        <w:rPr>
          <w:color w:val="000000"/>
          <w:sz w:val="28"/>
          <w:szCs w:val="28"/>
          <w:u w:val="single"/>
        </w:rPr>
      </w:pPr>
      <w:r>
        <w:rPr>
          <w:rFonts w:hint="eastAsia"/>
          <w:sz w:val="28"/>
          <w:szCs w:val="28"/>
        </w:rPr>
        <w:t>所属一级学科名称</w:t>
      </w:r>
      <w:r>
        <w:rPr>
          <w:rFonts w:hint="eastAsia"/>
          <w:sz w:val="28"/>
          <w:szCs w:val="28"/>
          <w:u w:val="single"/>
        </w:rPr>
        <w:tab/>
      </w:r>
      <w:r>
        <w:rPr>
          <w:rFonts w:hint="eastAsia"/>
          <w:color w:val="000000"/>
          <w:sz w:val="28"/>
          <w:szCs w:val="28"/>
          <w:u w:val="single"/>
        </w:rPr>
        <w:tab/>
      </w:r>
      <w:r>
        <w:rPr>
          <w:rFonts w:hint="eastAsia"/>
          <w:color w:val="000000"/>
          <w:sz w:val="28"/>
          <w:szCs w:val="28"/>
          <w:u w:val="single"/>
        </w:rPr>
        <w:t xml:space="preserve">  计算机科学与技术</w:t>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ab/>
      </w:r>
      <w:r>
        <w:rPr>
          <w:rFonts w:hint="eastAsia"/>
          <w:color w:val="000000"/>
          <w:sz w:val="28"/>
          <w:szCs w:val="28"/>
          <w:u w:val="single"/>
        </w:rPr>
        <w:t xml:space="preserve">  </w:t>
      </w:r>
    </w:p>
    <w:p w14:paraId="24F5610D">
      <w:pPr>
        <w:spacing w:line="800" w:lineRule="exact"/>
        <w:ind w:right="4" w:firstLine="1242" w:firstLineChars="450"/>
        <w:rPr>
          <w:sz w:val="28"/>
          <w:szCs w:val="28"/>
          <w:u w:val="single"/>
        </w:rPr>
      </w:pPr>
      <w:r>
        <w:rPr>
          <w:rFonts w:hint="eastAsia"/>
          <w:sz w:val="28"/>
          <w:szCs w:val="28"/>
        </w:rPr>
        <w:t>所属二级学科名称</w:t>
      </w:r>
      <w:r>
        <w:rPr>
          <w:rFonts w:hint="eastAsia"/>
          <w:sz w:val="28"/>
          <w:szCs w:val="28"/>
          <w:u w:val="single"/>
        </w:rPr>
        <w:t xml:space="preserve">　　　　   物联网工程                  </w:t>
      </w:r>
    </w:p>
    <w:p w14:paraId="7498FC4C">
      <w:pPr>
        <w:spacing w:line="800" w:lineRule="exact"/>
        <w:ind w:right="4" w:firstLine="1242" w:firstLineChars="450"/>
        <w:rPr>
          <w:sz w:val="28"/>
          <w:szCs w:val="28"/>
          <w:u w:val="single"/>
        </w:rPr>
      </w:pPr>
      <w:r>
        <w:rPr>
          <w:rFonts w:hint="eastAsia"/>
          <w:sz w:val="28"/>
          <w:szCs w:val="28"/>
        </w:rPr>
        <w:t>项 目 负 责 人</w:t>
      </w:r>
      <w:r>
        <w:rPr>
          <w:rFonts w:hint="eastAsia"/>
          <w:sz w:val="28"/>
          <w:szCs w:val="28"/>
          <w:u w:val="single"/>
        </w:rPr>
        <w:t xml:space="preserve"> </w:t>
      </w:r>
      <w:r>
        <w:rPr>
          <w:rFonts w:hint="eastAsia"/>
          <w:sz w:val="28"/>
          <w:szCs w:val="28"/>
          <w:u w:val="single"/>
        </w:rPr>
        <w:tab/>
      </w:r>
      <w:r>
        <w:rPr>
          <w:rFonts w:hint="eastAsia"/>
          <w:sz w:val="28"/>
          <w:szCs w:val="28"/>
          <w:u w:val="single"/>
        </w:rPr>
        <w:t xml:space="preserve">             刘格雅                    </w:t>
      </w:r>
    </w:p>
    <w:p w14:paraId="2C13E1E0">
      <w:pPr>
        <w:spacing w:line="800" w:lineRule="exact"/>
        <w:ind w:right="4" w:firstLine="1242" w:firstLineChars="450"/>
        <w:rPr>
          <w:szCs w:val="32"/>
          <w:u w:val="single"/>
        </w:rPr>
      </w:pPr>
      <w:r>
        <w:rPr>
          <w:rFonts w:hint="eastAsia"/>
          <w:sz w:val="28"/>
          <w:szCs w:val="28"/>
        </w:rPr>
        <w:t xml:space="preserve">申 报 日 期 </w:t>
      </w:r>
      <w:r>
        <w:rPr>
          <w:sz w:val="28"/>
          <w:szCs w:val="28"/>
          <w:u w:val="single"/>
        </w:rPr>
        <w:t>　　　　</w:t>
      </w:r>
      <w:r>
        <w:rPr>
          <w:rFonts w:hint="eastAsia"/>
          <w:sz w:val="28"/>
          <w:szCs w:val="28"/>
          <w:u w:val="single"/>
        </w:rPr>
        <w:t xml:space="preserve">       </w:t>
      </w:r>
      <w:r>
        <w:rPr>
          <w:sz w:val="28"/>
          <w:szCs w:val="28"/>
          <w:u w:val="single"/>
        </w:rPr>
        <w:t>2026年6月</w:t>
      </w:r>
      <w:r>
        <w:rPr>
          <w:rFonts w:hint="eastAsia"/>
          <w:sz w:val="28"/>
          <w:szCs w:val="28"/>
          <w:u w:val="single"/>
        </w:rPr>
        <w:t xml:space="preserve">                 </w:t>
      </w:r>
    </w:p>
    <w:p w14:paraId="11CD285E">
      <w:pPr>
        <w:spacing w:line="580" w:lineRule="exact"/>
        <w:ind w:left="1580" w:leftChars="500"/>
        <w:rPr>
          <w:rFonts w:hAnsi="宋体"/>
          <w:b/>
          <w:bCs/>
          <w:szCs w:val="32"/>
        </w:rPr>
      </w:pPr>
    </w:p>
    <w:p w14:paraId="06925766">
      <w:pPr>
        <w:spacing w:line="580" w:lineRule="exact"/>
        <w:ind w:left="1580" w:leftChars="500"/>
        <w:rPr>
          <w:rFonts w:hAnsi="宋体"/>
          <w:b/>
          <w:bCs/>
          <w:szCs w:val="32"/>
        </w:rPr>
      </w:pPr>
    </w:p>
    <w:p w14:paraId="372F8ED7">
      <w:pPr>
        <w:spacing w:line="580" w:lineRule="exact"/>
        <w:rPr>
          <w:rFonts w:hAnsi="宋体"/>
          <w:b/>
          <w:bCs/>
          <w:szCs w:val="32"/>
        </w:rPr>
      </w:pPr>
    </w:p>
    <w:p w14:paraId="36879D15">
      <w:pPr>
        <w:spacing w:line="580" w:lineRule="exact"/>
        <w:rPr>
          <w:rFonts w:hAnsi="宋体"/>
          <w:b/>
          <w:bCs/>
          <w:szCs w:val="32"/>
        </w:rPr>
      </w:pPr>
    </w:p>
    <w:p w14:paraId="0BA1F357">
      <w:pPr>
        <w:spacing w:line="580" w:lineRule="exact"/>
        <w:rPr>
          <w:rFonts w:hAnsi="宋体"/>
          <w:b/>
          <w:bCs/>
          <w:szCs w:val="32"/>
        </w:rPr>
      </w:pPr>
    </w:p>
    <w:p w14:paraId="5F0119BC">
      <w:pPr>
        <w:snapToGrid w:val="0"/>
        <w:spacing w:line="580" w:lineRule="exact"/>
        <w:ind w:firstLine="539"/>
        <w:jc w:val="center"/>
        <w:rPr>
          <w:rFonts w:hAnsi="宋体"/>
          <w:szCs w:val="32"/>
        </w:rPr>
      </w:pPr>
      <w:r>
        <w:rPr>
          <w:rFonts w:hint="eastAsia" w:hAnsi="宋体"/>
          <w:szCs w:val="32"/>
        </w:rPr>
        <w:t>湖北省教育厅制</w:t>
      </w:r>
    </w:p>
    <w:p w14:paraId="484525ED">
      <w:pPr>
        <w:snapToGrid w:val="0"/>
        <w:spacing w:line="580" w:lineRule="exact"/>
        <w:ind w:firstLine="539"/>
        <w:jc w:val="center"/>
        <w:rPr>
          <w:rFonts w:hAnsi="宋体"/>
          <w:szCs w:val="32"/>
        </w:rPr>
      </w:pPr>
      <w:r>
        <w:rPr>
          <w:rFonts w:hint="eastAsia" w:hAnsi="宋体"/>
          <w:szCs w:val="32"/>
        </w:rPr>
        <w:t>二○二六年六月</w:t>
      </w:r>
    </w:p>
    <w:p w14:paraId="1FCCCCC4">
      <w:pPr>
        <w:snapToGrid w:val="0"/>
        <w:spacing w:line="240" w:lineRule="atLeast"/>
        <w:ind w:firstLine="539"/>
        <w:jc w:val="center"/>
        <w:rPr>
          <w:rFonts w:hAnsi="宋体"/>
          <w:szCs w:val="32"/>
        </w:rPr>
      </w:pPr>
    </w:p>
    <w:tbl>
      <w:tblPr>
        <w:tblStyle w:val="16"/>
        <w:tblW w:w="9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1274"/>
        <w:gridCol w:w="683"/>
        <w:gridCol w:w="517"/>
        <w:gridCol w:w="698"/>
        <w:gridCol w:w="240"/>
        <w:gridCol w:w="163"/>
        <w:gridCol w:w="990"/>
        <w:gridCol w:w="507"/>
        <w:gridCol w:w="1409"/>
        <w:gridCol w:w="1937"/>
      </w:tblGrid>
      <w:tr w14:paraId="6703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24" w:type="dxa"/>
            <w:gridSpan w:val="2"/>
            <w:vAlign w:val="center"/>
          </w:tcPr>
          <w:p w14:paraId="0ED8429D">
            <w:pPr>
              <w:jc w:val="center"/>
              <w:rPr>
                <w:b/>
                <w:sz w:val="24"/>
              </w:rPr>
            </w:pPr>
            <w:r>
              <w:rPr>
                <w:rFonts w:hint="eastAsia"/>
                <w:b/>
                <w:sz w:val="24"/>
              </w:rPr>
              <w:t>项目名称</w:t>
            </w:r>
          </w:p>
        </w:tc>
        <w:tc>
          <w:tcPr>
            <w:tcW w:w="7144" w:type="dxa"/>
            <w:gridSpan w:val="9"/>
            <w:vAlign w:val="center"/>
          </w:tcPr>
          <w:p w14:paraId="1980387C">
            <w:pPr>
              <w:jc w:val="center"/>
              <w:rPr>
                <w:rFonts w:hint="eastAsia" w:ascii="宋体" w:hAnsi="宋体" w:eastAsia="宋体"/>
                <w:sz w:val="28"/>
                <w:szCs w:val="28"/>
              </w:rPr>
            </w:pPr>
            <w:r>
              <w:rPr>
                <w:rFonts w:eastAsia="宋体"/>
                <w:b/>
                <w:bCs/>
                <w:sz w:val="24"/>
                <w:szCs w:val="24"/>
              </w:rPr>
              <w:t>“灵眸伴宠”</w:t>
            </w:r>
            <w:r>
              <w:rPr>
                <w:rFonts w:hint="eastAsia" w:eastAsia="宋体"/>
                <w:b/>
                <w:bCs/>
                <w:sz w:val="24"/>
                <w:szCs w:val="24"/>
                <w:lang w:val="en-US" w:eastAsia="zh-CN"/>
              </w:rPr>
              <w:t>-</w:t>
            </w:r>
            <w:r>
              <w:rPr>
                <w:rFonts w:eastAsia="宋体"/>
                <w:b/>
                <w:bCs/>
                <w:sz w:val="24"/>
                <w:szCs w:val="24"/>
              </w:rPr>
              <w:t>基于STM32的自主伴随宠物式机器人</w:t>
            </w:r>
          </w:p>
        </w:tc>
      </w:tr>
      <w:tr w14:paraId="004C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trPr>
        <w:tc>
          <w:tcPr>
            <w:tcW w:w="2024" w:type="dxa"/>
            <w:gridSpan w:val="2"/>
            <w:vAlign w:val="center"/>
          </w:tcPr>
          <w:p w14:paraId="13936AF0">
            <w:pPr>
              <w:jc w:val="center"/>
              <w:rPr>
                <w:b/>
                <w:sz w:val="24"/>
              </w:rPr>
            </w:pPr>
            <w:r>
              <w:rPr>
                <w:rFonts w:hint="eastAsia"/>
                <w:b/>
                <w:sz w:val="24"/>
              </w:rPr>
              <w:t>项目类型</w:t>
            </w:r>
          </w:p>
        </w:tc>
        <w:tc>
          <w:tcPr>
            <w:tcW w:w="7144" w:type="dxa"/>
            <w:gridSpan w:val="9"/>
            <w:vAlign w:val="center"/>
          </w:tcPr>
          <w:p w14:paraId="197A34E8">
            <w:pPr>
              <w:rPr>
                <w:b/>
                <w:sz w:val="24"/>
              </w:rPr>
            </w:pPr>
            <w:r>
              <w:rPr>
                <w:rFonts w:hint="eastAsia"/>
                <w:b/>
                <w:sz w:val="24"/>
              </w:rPr>
              <w:t>（√）创新训练项目  （）创业训练项目  （）创业实践项目</w:t>
            </w:r>
          </w:p>
        </w:tc>
      </w:tr>
      <w:tr w14:paraId="4867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024" w:type="dxa"/>
            <w:gridSpan w:val="2"/>
            <w:vAlign w:val="center"/>
          </w:tcPr>
          <w:p w14:paraId="10D2A054">
            <w:pPr>
              <w:jc w:val="center"/>
              <w:rPr>
                <w:b/>
                <w:sz w:val="24"/>
              </w:rPr>
            </w:pPr>
            <w:r>
              <w:rPr>
                <w:rFonts w:hint="eastAsia"/>
                <w:b/>
                <w:sz w:val="24"/>
              </w:rPr>
              <w:t>项目实施时间</w:t>
            </w:r>
          </w:p>
        </w:tc>
        <w:tc>
          <w:tcPr>
            <w:tcW w:w="7144" w:type="dxa"/>
            <w:gridSpan w:val="9"/>
            <w:vAlign w:val="center"/>
          </w:tcPr>
          <w:p w14:paraId="7B5D6139">
            <w:pPr>
              <w:rPr>
                <w:b/>
                <w:sz w:val="24"/>
              </w:rPr>
            </w:pPr>
            <w:r>
              <w:rPr>
                <w:rFonts w:hint="eastAsia"/>
                <w:b/>
                <w:sz w:val="24"/>
              </w:rPr>
              <w:t>起始时间： 2026 年 6 月          完成时间： 2027 年 6 月</w:t>
            </w:r>
          </w:p>
        </w:tc>
      </w:tr>
      <w:tr w14:paraId="6DDF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50" w:type="dxa"/>
            <w:vMerge w:val="restart"/>
            <w:textDirection w:val="tbRlV"/>
            <w:vAlign w:val="center"/>
          </w:tcPr>
          <w:p w14:paraId="4FE81551">
            <w:pPr>
              <w:ind w:left="113" w:right="113"/>
              <w:jc w:val="center"/>
              <w:rPr>
                <w:b/>
                <w:sz w:val="24"/>
              </w:rPr>
            </w:pPr>
            <w:r>
              <w:rPr>
                <w:rFonts w:hint="eastAsia"/>
                <w:b/>
                <w:sz w:val="24"/>
              </w:rPr>
              <w:t>申请人或申请团队</w:t>
            </w:r>
          </w:p>
        </w:tc>
        <w:tc>
          <w:tcPr>
            <w:tcW w:w="1274" w:type="dxa"/>
            <w:vAlign w:val="center"/>
          </w:tcPr>
          <w:p w14:paraId="15869E58">
            <w:pPr>
              <w:jc w:val="center"/>
              <w:rPr>
                <w:b/>
                <w:sz w:val="24"/>
              </w:rPr>
            </w:pPr>
          </w:p>
        </w:tc>
        <w:tc>
          <w:tcPr>
            <w:tcW w:w="683" w:type="dxa"/>
            <w:vAlign w:val="center"/>
          </w:tcPr>
          <w:p w14:paraId="6875483E">
            <w:pPr>
              <w:jc w:val="center"/>
              <w:rPr>
                <w:b/>
                <w:sz w:val="24"/>
              </w:rPr>
            </w:pPr>
            <w:r>
              <w:rPr>
                <w:rFonts w:hint="eastAsia"/>
                <w:b/>
                <w:sz w:val="24"/>
              </w:rPr>
              <w:t>姓名</w:t>
            </w:r>
          </w:p>
        </w:tc>
        <w:tc>
          <w:tcPr>
            <w:tcW w:w="517" w:type="dxa"/>
            <w:tcBorders>
              <w:right w:val="single" w:color="auto" w:sz="4" w:space="0"/>
            </w:tcBorders>
            <w:vAlign w:val="center"/>
          </w:tcPr>
          <w:p w14:paraId="76616E27">
            <w:pPr>
              <w:jc w:val="center"/>
              <w:rPr>
                <w:b/>
                <w:sz w:val="24"/>
              </w:rPr>
            </w:pPr>
            <w:r>
              <w:rPr>
                <w:rFonts w:hint="eastAsia"/>
                <w:b/>
                <w:sz w:val="24"/>
              </w:rPr>
              <w:t>年级</w:t>
            </w:r>
          </w:p>
        </w:tc>
        <w:tc>
          <w:tcPr>
            <w:tcW w:w="1101" w:type="dxa"/>
            <w:gridSpan w:val="3"/>
            <w:tcBorders>
              <w:left w:val="single" w:color="auto" w:sz="4" w:space="0"/>
            </w:tcBorders>
            <w:vAlign w:val="center"/>
          </w:tcPr>
          <w:p w14:paraId="12CBC322">
            <w:pPr>
              <w:jc w:val="center"/>
              <w:rPr>
                <w:b/>
                <w:sz w:val="24"/>
              </w:rPr>
            </w:pPr>
            <w:r>
              <w:rPr>
                <w:rFonts w:hint="eastAsia"/>
                <w:b/>
                <w:sz w:val="24"/>
              </w:rPr>
              <w:t>学校</w:t>
            </w:r>
          </w:p>
        </w:tc>
        <w:tc>
          <w:tcPr>
            <w:tcW w:w="1497" w:type="dxa"/>
            <w:gridSpan w:val="2"/>
            <w:vAlign w:val="center"/>
          </w:tcPr>
          <w:p w14:paraId="2E09B7A9">
            <w:pPr>
              <w:jc w:val="center"/>
              <w:rPr>
                <w:b/>
                <w:sz w:val="24"/>
              </w:rPr>
            </w:pPr>
            <w:r>
              <w:rPr>
                <w:rFonts w:hint="eastAsia"/>
                <w:b/>
                <w:sz w:val="24"/>
              </w:rPr>
              <w:t>所在院系</w:t>
            </w:r>
          </w:p>
          <w:p w14:paraId="45D78CBC">
            <w:pPr>
              <w:jc w:val="center"/>
              <w:rPr>
                <w:b/>
                <w:sz w:val="24"/>
              </w:rPr>
            </w:pPr>
            <w:r>
              <w:rPr>
                <w:rFonts w:hint="eastAsia"/>
                <w:b/>
                <w:sz w:val="24"/>
              </w:rPr>
              <w:t>/专业</w:t>
            </w:r>
          </w:p>
        </w:tc>
        <w:tc>
          <w:tcPr>
            <w:tcW w:w="1409" w:type="dxa"/>
            <w:vAlign w:val="center"/>
          </w:tcPr>
          <w:p w14:paraId="793EE6EE">
            <w:pPr>
              <w:jc w:val="center"/>
              <w:rPr>
                <w:b/>
                <w:sz w:val="24"/>
              </w:rPr>
            </w:pPr>
            <w:r>
              <w:rPr>
                <w:rFonts w:hint="eastAsia"/>
                <w:b/>
                <w:sz w:val="24"/>
              </w:rPr>
              <w:t>联系电话</w:t>
            </w:r>
          </w:p>
        </w:tc>
        <w:tc>
          <w:tcPr>
            <w:tcW w:w="1937" w:type="dxa"/>
            <w:vAlign w:val="center"/>
          </w:tcPr>
          <w:p w14:paraId="7D2E221B">
            <w:pPr>
              <w:jc w:val="center"/>
              <w:rPr>
                <w:b/>
                <w:sz w:val="24"/>
              </w:rPr>
            </w:pPr>
            <w:r>
              <w:rPr>
                <w:rFonts w:hint="eastAsia"/>
                <w:b/>
                <w:sz w:val="24"/>
              </w:rPr>
              <w:t>E-mail</w:t>
            </w:r>
          </w:p>
        </w:tc>
      </w:tr>
      <w:tr w14:paraId="59BA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750" w:type="dxa"/>
            <w:vMerge w:val="continue"/>
            <w:textDirection w:val="tbRlV"/>
          </w:tcPr>
          <w:p w14:paraId="2F05CB14">
            <w:pPr>
              <w:ind w:left="113" w:right="113"/>
              <w:jc w:val="center"/>
              <w:rPr>
                <w:b/>
                <w:sz w:val="24"/>
              </w:rPr>
            </w:pPr>
          </w:p>
        </w:tc>
        <w:tc>
          <w:tcPr>
            <w:tcW w:w="1274" w:type="dxa"/>
            <w:vAlign w:val="center"/>
          </w:tcPr>
          <w:p w14:paraId="0C4C8D9E">
            <w:pPr>
              <w:jc w:val="center"/>
              <w:rPr>
                <w:b/>
                <w:sz w:val="24"/>
              </w:rPr>
            </w:pPr>
            <w:r>
              <w:rPr>
                <w:rFonts w:hint="eastAsia"/>
                <w:b/>
                <w:sz w:val="24"/>
              </w:rPr>
              <w:t>主持人</w:t>
            </w:r>
          </w:p>
        </w:tc>
        <w:tc>
          <w:tcPr>
            <w:tcW w:w="683" w:type="dxa"/>
            <w:tcBorders>
              <w:bottom w:val="single" w:color="auto" w:sz="4" w:space="0"/>
            </w:tcBorders>
          </w:tcPr>
          <w:p w14:paraId="6FE1A795">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刘格雅</w:t>
            </w:r>
          </w:p>
        </w:tc>
        <w:tc>
          <w:tcPr>
            <w:tcW w:w="517" w:type="dxa"/>
            <w:tcBorders>
              <w:top w:val="single" w:color="auto" w:sz="4" w:space="0"/>
              <w:bottom w:val="single" w:color="auto" w:sz="4" w:space="0"/>
              <w:right w:val="single" w:color="auto" w:sz="4" w:space="0"/>
            </w:tcBorders>
          </w:tcPr>
          <w:p w14:paraId="3EE70061">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24级</w:t>
            </w:r>
          </w:p>
        </w:tc>
        <w:tc>
          <w:tcPr>
            <w:tcW w:w="1101" w:type="dxa"/>
            <w:gridSpan w:val="3"/>
            <w:tcBorders>
              <w:top w:val="single" w:color="auto" w:sz="4" w:space="0"/>
              <w:left w:val="single" w:color="auto" w:sz="4" w:space="0"/>
              <w:bottom w:val="single" w:color="auto" w:sz="4" w:space="0"/>
            </w:tcBorders>
          </w:tcPr>
          <w:p w14:paraId="3F066FD1">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497" w:type="dxa"/>
            <w:gridSpan w:val="2"/>
            <w:tcBorders>
              <w:bottom w:val="single" w:color="auto" w:sz="4" w:space="0"/>
            </w:tcBorders>
          </w:tcPr>
          <w:p w14:paraId="74FC71F3">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409" w:type="dxa"/>
            <w:tcBorders>
              <w:bottom w:val="single" w:color="auto" w:sz="4" w:space="0"/>
            </w:tcBorders>
          </w:tcPr>
          <w:p w14:paraId="13AC6CFE">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18707226137</w:t>
            </w:r>
          </w:p>
        </w:tc>
        <w:tc>
          <w:tcPr>
            <w:tcW w:w="1937" w:type="dxa"/>
            <w:tcBorders>
              <w:bottom w:val="single" w:color="auto" w:sz="4" w:space="0"/>
            </w:tcBorders>
          </w:tcPr>
          <w:p w14:paraId="58DE0D89">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252475690@qq.com</w:t>
            </w:r>
          </w:p>
        </w:tc>
      </w:tr>
      <w:tr w14:paraId="505C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50" w:type="dxa"/>
            <w:vMerge w:val="continue"/>
            <w:textDirection w:val="tbRlV"/>
          </w:tcPr>
          <w:p w14:paraId="54CF3681">
            <w:pPr>
              <w:ind w:left="113" w:right="113"/>
              <w:jc w:val="center"/>
              <w:rPr>
                <w:b/>
                <w:sz w:val="24"/>
              </w:rPr>
            </w:pPr>
          </w:p>
        </w:tc>
        <w:tc>
          <w:tcPr>
            <w:tcW w:w="1274" w:type="dxa"/>
            <w:vMerge w:val="restart"/>
            <w:tcBorders>
              <w:top w:val="single" w:color="auto" w:sz="4" w:space="0"/>
            </w:tcBorders>
            <w:vAlign w:val="center"/>
          </w:tcPr>
          <w:p w14:paraId="2C6ADFA9">
            <w:pPr>
              <w:jc w:val="center"/>
              <w:rPr>
                <w:b/>
                <w:sz w:val="24"/>
              </w:rPr>
            </w:pPr>
            <w:r>
              <w:rPr>
                <w:rFonts w:hint="eastAsia"/>
                <w:b/>
                <w:sz w:val="24"/>
              </w:rPr>
              <w:t>成员</w:t>
            </w:r>
          </w:p>
        </w:tc>
        <w:tc>
          <w:tcPr>
            <w:tcW w:w="683" w:type="dxa"/>
            <w:tcBorders>
              <w:top w:val="single" w:color="auto" w:sz="4" w:space="0"/>
              <w:bottom w:val="single" w:color="auto" w:sz="4" w:space="0"/>
            </w:tcBorders>
          </w:tcPr>
          <w:p w14:paraId="1B132658">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陈志栋</w:t>
            </w:r>
          </w:p>
        </w:tc>
        <w:tc>
          <w:tcPr>
            <w:tcW w:w="517" w:type="dxa"/>
            <w:tcBorders>
              <w:top w:val="single" w:color="auto" w:sz="4" w:space="0"/>
              <w:bottom w:val="single" w:color="auto" w:sz="4" w:space="0"/>
              <w:right w:val="single" w:color="auto" w:sz="4" w:space="0"/>
            </w:tcBorders>
          </w:tcPr>
          <w:p w14:paraId="48B2D08A">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24级</w:t>
            </w:r>
          </w:p>
        </w:tc>
        <w:tc>
          <w:tcPr>
            <w:tcW w:w="1101" w:type="dxa"/>
            <w:gridSpan w:val="3"/>
            <w:tcBorders>
              <w:top w:val="single" w:color="auto" w:sz="4" w:space="0"/>
              <w:left w:val="single" w:color="auto" w:sz="4" w:space="0"/>
              <w:bottom w:val="single" w:color="auto" w:sz="4" w:space="0"/>
            </w:tcBorders>
          </w:tcPr>
          <w:p w14:paraId="0EF71E6B">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497" w:type="dxa"/>
            <w:gridSpan w:val="2"/>
            <w:tcBorders>
              <w:top w:val="single" w:color="auto" w:sz="4" w:space="0"/>
              <w:bottom w:val="single" w:color="auto" w:sz="4" w:space="0"/>
            </w:tcBorders>
          </w:tcPr>
          <w:p w14:paraId="3956B202">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409" w:type="dxa"/>
            <w:tcBorders>
              <w:top w:val="single" w:color="auto" w:sz="4" w:space="0"/>
              <w:bottom w:val="single" w:color="auto" w:sz="4" w:space="0"/>
            </w:tcBorders>
          </w:tcPr>
          <w:p w14:paraId="4DF7C6F9">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13612599893</w:t>
            </w:r>
          </w:p>
        </w:tc>
        <w:tc>
          <w:tcPr>
            <w:tcW w:w="1937" w:type="dxa"/>
            <w:tcBorders>
              <w:top w:val="single" w:color="auto" w:sz="4" w:space="0"/>
              <w:bottom w:val="single" w:color="auto" w:sz="4" w:space="0"/>
            </w:tcBorders>
          </w:tcPr>
          <w:p w14:paraId="35992CE7">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3613951142@qq.com</w:t>
            </w:r>
          </w:p>
        </w:tc>
      </w:tr>
      <w:tr w14:paraId="07CC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750" w:type="dxa"/>
            <w:vMerge w:val="continue"/>
            <w:textDirection w:val="tbRlV"/>
          </w:tcPr>
          <w:p w14:paraId="04507C7B">
            <w:pPr>
              <w:ind w:left="113" w:right="113"/>
              <w:jc w:val="center"/>
              <w:rPr>
                <w:b/>
                <w:sz w:val="24"/>
              </w:rPr>
            </w:pPr>
          </w:p>
        </w:tc>
        <w:tc>
          <w:tcPr>
            <w:tcW w:w="1274" w:type="dxa"/>
            <w:vMerge w:val="continue"/>
            <w:tcBorders>
              <w:top w:val="single" w:color="auto" w:sz="4" w:space="0"/>
            </w:tcBorders>
          </w:tcPr>
          <w:p w14:paraId="1EC43CD9">
            <w:pPr>
              <w:jc w:val="center"/>
              <w:rPr>
                <w:b/>
                <w:sz w:val="24"/>
              </w:rPr>
            </w:pPr>
          </w:p>
        </w:tc>
        <w:tc>
          <w:tcPr>
            <w:tcW w:w="683" w:type="dxa"/>
            <w:tcBorders>
              <w:top w:val="single" w:color="auto" w:sz="4" w:space="0"/>
              <w:bottom w:val="single" w:color="auto" w:sz="4" w:space="0"/>
            </w:tcBorders>
          </w:tcPr>
          <w:p w14:paraId="695F1337">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李欣怡</w:t>
            </w:r>
          </w:p>
        </w:tc>
        <w:tc>
          <w:tcPr>
            <w:tcW w:w="517" w:type="dxa"/>
            <w:tcBorders>
              <w:top w:val="single" w:color="auto" w:sz="4" w:space="0"/>
              <w:bottom w:val="single" w:color="auto" w:sz="4" w:space="0"/>
              <w:right w:val="single" w:color="auto" w:sz="4" w:space="0"/>
            </w:tcBorders>
          </w:tcPr>
          <w:p w14:paraId="7F7122A2">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24级</w:t>
            </w:r>
          </w:p>
        </w:tc>
        <w:tc>
          <w:tcPr>
            <w:tcW w:w="1101" w:type="dxa"/>
            <w:gridSpan w:val="3"/>
            <w:tcBorders>
              <w:top w:val="single" w:color="auto" w:sz="4" w:space="0"/>
              <w:left w:val="single" w:color="auto" w:sz="4" w:space="0"/>
              <w:bottom w:val="single" w:color="auto" w:sz="4" w:space="0"/>
            </w:tcBorders>
          </w:tcPr>
          <w:p w14:paraId="324A9225">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湖北经济学院</w:t>
            </w:r>
          </w:p>
        </w:tc>
        <w:tc>
          <w:tcPr>
            <w:tcW w:w="1497" w:type="dxa"/>
            <w:gridSpan w:val="2"/>
            <w:tcBorders>
              <w:top w:val="single" w:color="auto" w:sz="4" w:space="0"/>
              <w:bottom w:val="single" w:color="auto" w:sz="4" w:space="0"/>
            </w:tcBorders>
          </w:tcPr>
          <w:p w14:paraId="71D5617E">
            <w:pPr>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信息工程学院/物联网工程</w:t>
            </w:r>
          </w:p>
        </w:tc>
        <w:tc>
          <w:tcPr>
            <w:tcW w:w="1409" w:type="dxa"/>
            <w:tcBorders>
              <w:top w:val="single" w:color="auto" w:sz="4" w:space="0"/>
              <w:bottom w:val="single" w:color="auto" w:sz="4" w:space="0"/>
            </w:tcBorders>
          </w:tcPr>
          <w:p w14:paraId="220A06A0">
            <w:pPr>
              <w:jc w:val="center"/>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13409788921</w:t>
            </w:r>
          </w:p>
        </w:tc>
        <w:tc>
          <w:tcPr>
            <w:tcW w:w="1937" w:type="dxa"/>
            <w:tcBorders>
              <w:top w:val="single" w:color="auto" w:sz="4" w:space="0"/>
              <w:bottom w:val="single" w:color="auto" w:sz="4" w:space="0"/>
            </w:tcBorders>
          </w:tcPr>
          <w:p w14:paraId="75ACF8AC">
            <w:pPr>
              <w:jc w:val="center"/>
              <w:rPr>
                <w:rFonts w:hint="default" w:ascii="Times New Roman" w:hAnsi="Times New Roman" w:eastAsia="宋体" w:cs="Times New Roman"/>
                <w:b w:val="0"/>
                <w:bCs/>
                <w:sz w:val="21"/>
                <w:szCs w:val="21"/>
                <w:lang w:val="en-US" w:eastAsia="zh-CN"/>
              </w:rPr>
            </w:pPr>
            <w:r>
              <w:rPr>
                <w:rFonts w:hint="eastAsia" w:eastAsia="宋体" w:cs="Times New Roman"/>
                <w:b w:val="0"/>
                <w:bCs/>
                <w:sz w:val="21"/>
                <w:szCs w:val="21"/>
                <w:lang w:val="en-US" w:eastAsia="zh-CN"/>
              </w:rPr>
              <w:t>3359494756@qq.com</w:t>
            </w:r>
          </w:p>
        </w:tc>
      </w:tr>
      <w:tr w14:paraId="2471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3" w:hRule="atLeast"/>
        </w:trPr>
        <w:tc>
          <w:tcPr>
            <w:tcW w:w="750" w:type="dxa"/>
            <w:vMerge w:val="restart"/>
            <w:textDirection w:val="tbRlV"/>
            <w:vAlign w:val="center"/>
          </w:tcPr>
          <w:p w14:paraId="554C2884">
            <w:pPr>
              <w:ind w:left="113" w:right="113"/>
              <w:jc w:val="center"/>
              <w:rPr>
                <w:rFonts w:hint="eastAsia" w:eastAsia="仿宋_GB2312"/>
                <w:b/>
                <w:sz w:val="24"/>
                <w:lang w:val="en-US" w:eastAsia="zh-CN"/>
              </w:rPr>
            </w:pPr>
            <w:r>
              <w:rPr>
                <w:rFonts w:hint="default" w:ascii="Times New Roman" w:hAnsi="Times New Roman" w:cs="Times New Roman"/>
                <w:b/>
                <w:sz w:val="24"/>
              </w:rPr>
              <w:t>指导教师</w:t>
            </w:r>
            <w:r>
              <w:rPr>
                <w:rFonts w:hint="default" w:ascii="Times New Roman" w:hAnsi="Times New Roman" w:cs="Times New Roman"/>
                <w:b/>
                <w:sz w:val="24"/>
                <w:lang w:val="en-US" w:eastAsia="zh-CN"/>
              </w:rPr>
              <w:t>1</w:t>
            </w:r>
          </w:p>
        </w:tc>
        <w:tc>
          <w:tcPr>
            <w:tcW w:w="1274" w:type="dxa"/>
            <w:tcBorders>
              <w:top w:val="single" w:color="auto" w:sz="4" w:space="0"/>
              <w:bottom w:val="single" w:color="auto" w:sz="4" w:space="0"/>
            </w:tcBorders>
            <w:vAlign w:val="center"/>
          </w:tcPr>
          <w:p w14:paraId="65BB2405">
            <w:pPr>
              <w:jc w:val="center"/>
              <w:rPr>
                <w:b/>
                <w:sz w:val="24"/>
              </w:rPr>
            </w:pPr>
            <w:r>
              <w:rPr>
                <w:rFonts w:hint="eastAsia"/>
                <w:b/>
                <w:sz w:val="24"/>
              </w:rPr>
              <w:t>姓名</w:t>
            </w:r>
          </w:p>
        </w:tc>
        <w:tc>
          <w:tcPr>
            <w:tcW w:w="1898" w:type="dxa"/>
            <w:gridSpan w:val="3"/>
            <w:tcBorders>
              <w:top w:val="single" w:color="auto" w:sz="4" w:space="0"/>
              <w:bottom w:val="single" w:color="auto" w:sz="4" w:space="0"/>
            </w:tcBorders>
            <w:vAlign w:val="center"/>
          </w:tcPr>
          <w:p w14:paraId="5761CC60">
            <w:pPr>
              <w:jc w:val="center"/>
              <w:rPr>
                <w:b/>
                <w:sz w:val="24"/>
              </w:rPr>
            </w:pPr>
            <w:r>
              <w:rPr>
                <w:rFonts w:hint="eastAsia" w:ascii="宋体" w:hAnsi="宋体" w:eastAsia="宋体" w:cs="宋体"/>
                <w:b w:val="0"/>
                <w:bCs/>
                <w:sz w:val="21"/>
                <w:szCs w:val="21"/>
                <w:lang w:val="en-US" w:eastAsia="zh-CN"/>
              </w:rPr>
              <w:t>宋莺</w:t>
            </w:r>
          </w:p>
        </w:tc>
        <w:tc>
          <w:tcPr>
            <w:tcW w:w="1393" w:type="dxa"/>
            <w:gridSpan w:val="3"/>
            <w:tcBorders>
              <w:top w:val="single" w:color="auto" w:sz="4" w:space="0"/>
              <w:bottom w:val="single" w:color="auto" w:sz="4" w:space="0"/>
            </w:tcBorders>
            <w:vAlign w:val="center"/>
          </w:tcPr>
          <w:p w14:paraId="5DEA62AE">
            <w:pPr>
              <w:jc w:val="center"/>
              <w:rPr>
                <w:b/>
                <w:sz w:val="24"/>
              </w:rPr>
            </w:pPr>
            <w:r>
              <w:rPr>
                <w:rFonts w:hint="eastAsia"/>
                <w:b/>
                <w:sz w:val="24"/>
              </w:rPr>
              <w:t>研究方向</w:t>
            </w:r>
          </w:p>
        </w:tc>
        <w:tc>
          <w:tcPr>
            <w:tcW w:w="3853" w:type="dxa"/>
            <w:gridSpan w:val="3"/>
            <w:tcBorders>
              <w:top w:val="single" w:color="auto" w:sz="4" w:space="0"/>
              <w:bottom w:val="single" w:color="auto" w:sz="4" w:space="0"/>
            </w:tcBorders>
            <w:vAlign w:val="center"/>
          </w:tcPr>
          <w:p w14:paraId="03D884F5">
            <w:pPr>
              <w:jc w:val="center"/>
              <w:rPr>
                <w:b/>
                <w:sz w:val="24"/>
              </w:rPr>
            </w:pPr>
            <w:r>
              <w:rPr>
                <w:rFonts w:hint="eastAsia" w:ascii="宋体" w:hAnsi="宋体" w:eastAsia="宋体" w:cs="宋体"/>
                <w:bCs/>
                <w:sz w:val="21"/>
                <w:szCs w:val="21"/>
              </w:rPr>
              <w:t>计算机应用、嵌入式软件开发</w:t>
            </w:r>
          </w:p>
        </w:tc>
      </w:tr>
      <w:tr w14:paraId="6229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2" w:hRule="atLeast"/>
        </w:trPr>
        <w:tc>
          <w:tcPr>
            <w:tcW w:w="750" w:type="dxa"/>
            <w:vMerge w:val="continue"/>
            <w:textDirection w:val="tbRlV"/>
            <w:vAlign w:val="center"/>
          </w:tcPr>
          <w:p w14:paraId="2A8A9A25">
            <w:pPr>
              <w:ind w:left="113" w:right="113"/>
              <w:jc w:val="center"/>
              <w:rPr>
                <w:b/>
                <w:sz w:val="24"/>
              </w:rPr>
            </w:pPr>
          </w:p>
        </w:tc>
        <w:tc>
          <w:tcPr>
            <w:tcW w:w="1274" w:type="dxa"/>
            <w:tcBorders>
              <w:top w:val="single" w:color="auto" w:sz="4" w:space="0"/>
              <w:bottom w:val="single" w:color="auto" w:sz="4" w:space="0"/>
            </w:tcBorders>
            <w:vAlign w:val="center"/>
          </w:tcPr>
          <w:p w14:paraId="2248412E">
            <w:pPr>
              <w:jc w:val="center"/>
              <w:rPr>
                <w:b/>
                <w:sz w:val="24"/>
              </w:rPr>
            </w:pPr>
            <w:r>
              <w:rPr>
                <w:rFonts w:hint="eastAsia"/>
                <w:b/>
                <w:sz w:val="24"/>
              </w:rPr>
              <w:t>年龄</w:t>
            </w:r>
          </w:p>
        </w:tc>
        <w:tc>
          <w:tcPr>
            <w:tcW w:w="1898" w:type="dxa"/>
            <w:gridSpan w:val="3"/>
            <w:tcBorders>
              <w:top w:val="single" w:color="auto" w:sz="4" w:space="0"/>
              <w:bottom w:val="single" w:color="auto" w:sz="4" w:space="0"/>
            </w:tcBorders>
            <w:vAlign w:val="center"/>
          </w:tcPr>
          <w:p w14:paraId="48F93CFB">
            <w:pPr>
              <w:jc w:val="center"/>
              <w:rPr>
                <w:rFonts w:hint="default"/>
                <w:b/>
                <w:sz w:val="24"/>
                <w:lang w:val="en-US"/>
              </w:rPr>
            </w:pPr>
            <w:r>
              <w:rPr>
                <w:rFonts w:hint="eastAsia" w:ascii="宋体" w:hAnsi="宋体" w:eastAsia="宋体" w:cs="宋体"/>
                <w:b w:val="0"/>
                <w:bCs/>
                <w:sz w:val="21"/>
                <w:szCs w:val="21"/>
                <w:lang w:val="en-US" w:eastAsia="zh-CN"/>
              </w:rPr>
              <w:t>50</w:t>
            </w:r>
          </w:p>
        </w:tc>
        <w:tc>
          <w:tcPr>
            <w:tcW w:w="1393" w:type="dxa"/>
            <w:gridSpan w:val="3"/>
            <w:tcBorders>
              <w:top w:val="single" w:color="auto" w:sz="4" w:space="0"/>
              <w:bottom w:val="single" w:color="auto" w:sz="4" w:space="0"/>
            </w:tcBorders>
            <w:vAlign w:val="center"/>
          </w:tcPr>
          <w:p w14:paraId="1CA536A9">
            <w:pPr>
              <w:jc w:val="center"/>
              <w:rPr>
                <w:b/>
                <w:sz w:val="24"/>
              </w:rPr>
            </w:pPr>
            <w:r>
              <w:rPr>
                <w:rFonts w:hint="eastAsia"/>
                <w:b/>
                <w:sz w:val="24"/>
              </w:rPr>
              <w:t>行政职务/专业技术职务</w:t>
            </w:r>
          </w:p>
        </w:tc>
        <w:tc>
          <w:tcPr>
            <w:tcW w:w="3853" w:type="dxa"/>
            <w:gridSpan w:val="3"/>
            <w:tcBorders>
              <w:top w:val="single" w:color="auto" w:sz="4" w:space="0"/>
              <w:bottom w:val="single" w:color="auto" w:sz="4" w:space="0"/>
            </w:tcBorders>
            <w:vAlign w:val="center"/>
          </w:tcPr>
          <w:p w14:paraId="092EC432">
            <w:pPr>
              <w:jc w:val="center"/>
              <w:rPr>
                <w:b/>
                <w:sz w:val="24"/>
              </w:rPr>
            </w:pPr>
            <w:r>
              <w:rPr>
                <w:rFonts w:hint="eastAsia" w:ascii="宋体" w:hAnsi="宋体" w:eastAsia="宋体" w:cs="宋体"/>
                <w:bCs/>
                <w:sz w:val="21"/>
                <w:szCs w:val="21"/>
              </w:rPr>
              <w:t>计算机科学与技术系主任/教授</w:t>
            </w:r>
          </w:p>
        </w:tc>
      </w:tr>
      <w:tr w14:paraId="35BC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750" w:type="dxa"/>
            <w:vMerge w:val="continue"/>
            <w:textDirection w:val="tbRlV"/>
            <w:vAlign w:val="center"/>
          </w:tcPr>
          <w:p w14:paraId="67868942">
            <w:pPr>
              <w:ind w:left="113" w:right="113"/>
              <w:jc w:val="center"/>
              <w:rPr>
                <w:b/>
                <w:sz w:val="24"/>
              </w:rPr>
            </w:pPr>
          </w:p>
        </w:tc>
        <w:tc>
          <w:tcPr>
            <w:tcW w:w="1274" w:type="dxa"/>
            <w:tcBorders>
              <w:top w:val="single" w:color="auto" w:sz="4" w:space="0"/>
              <w:bottom w:val="single" w:color="auto" w:sz="4" w:space="0"/>
            </w:tcBorders>
            <w:vAlign w:val="center"/>
          </w:tcPr>
          <w:p w14:paraId="2F4CA0B7">
            <w:pPr>
              <w:jc w:val="center"/>
              <w:rPr>
                <w:b/>
                <w:sz w:val="24"/>
              </w:rPr>
            </w:pPr>
            <w:r>
              <w:rPr>
                <w:rFonts w:hint="eastAsia"/>
                <w:b/>
                <w:sz w:val="24"/>
              </w:rPr>
              <w:t>主要成果</w:t>
            </w:r>
          </w:p>
        </w:tc>
        <w:tc>
          <w:tcPr>
            <w:tcW w:w="7144" w:type="dxa"/>
            <w:gridSpan w:val="9"/>
            <w:tcBorders>
              <w:top w:val="single" w:color="auto" w:sz="4" w:space="0"/>
              <w:bottom w:val="single" w:color="auto" w:sz="4" w:space="0"/>
            </w:tcBorders>
            <w:vAlign w:val="top"/>
          </w:tcPr>
          <w:p w14:paraId="51B717CA">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主持完成了湖北省自然科学基金项目1项、湖北省教育厅科研项目2项、湖北省教育科学规划课题2项、湖北省教学研究项目2项；参与了相关领域的国家863计划项目2项、国家自然科学基金项目2项、国家社会科学基金项目2项、湖北省高等学校优秀中青年科技创新团队资助计划项目1项。研究成果在《IEEE Internet of Things Journal》、《IEEE Access》、《Wireless Personal Communications》、《计算机科学》、《华中科技大学学报(自然科学版)》、《武汉大学学报信息科学版》、《计算机工程》、《计算机系统应用》等国内外重要专业学术期刊及国际学术会议上发表学术论文40余篇，其中被SCI，EI检索系统收录论文10余篇（次），获发明专利3项，出版学术专著</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部。指导本科生毕业设计（论文）获省级优秀论文1篇，校级优秀论文5篇，指导国家级大学生创新训练项目</w:t>
            </w:r>
            <w:r>
              <w:rPr>
                <w:rFonts w:hint="eastAsia" w:eastAsia="宋体" w:cs="Times New Roman"/>
                <w:bCs/>
                <w:sz w:val="21"/>
                <w:szCs w:val="21"/>
                <w:lang w:val="en-US" w:eastAsia="zh-CN"/>
              </w:rPr>
              <w:t>2</w:t>
            </w:r>
            <w:r>
              <w:rPr>
                <w:rFonts w:hint="default" w:ascii="Times New Roman" w:hAnsi="Times New Roman" w:eastAsia="宋体" w:cs="Times New Roman"/>
                <w:bCs/>
                <w:sz w:val="21"/>
                <w:szCs w:val="21"/>
              </w:rPr>
              <w:t>项，省级项目2项、校级</w:t>
            </w:r>
            <w:r>
              <w:rPr>
                <w:rFonts w:hint="eastAsia" w:eastAsia="宋体" w:cs="Times New Roman"/>
                <w:bCs/>
                <w:sz w:val="21"/>
                <w:szCs w:val="21"/>
                <w:lang w:val="en-US" w:eastAsia="zh-CN"/>
              </w:rPr>
              <w:t>6</w:t>
            </w:r>
            <w:r>
              <w:rPr>
                <w:rFonts w:hint="default" w:ascii="Times New Roman" w:hAnsi="Times New Roman" w:eastAsia="宋体" w:cs="Times New Roman"/>
                <w:bCs/>
                <w:sz w:val="21"/>
                <w:szCs w:val="21"/>
              </w:rPr>
              <w:t>项均已结题。指导学生学科竞赛多次获国家级、省级奖项，对本项目研究有着相当大的借鉴意义。</w:t>
            </w:r>
          </w:p>
          <w:p w14:paraId="196BD0FD">
            <w:pPr>
              <w:snapToGrid w:val="0"/>
              <w:spacing w:line="360" w:lineRule="auto"/>
              <w:ind w:firstLine="412" w:firstLineChars="200"/>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主持的项目：</w:t>
            </w:r>
          </w:p>
          <w:p w14:paraId="1D7E6E43">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1）湖北省自然科学基金计划项目，基于网络编码的移动金融支付数据的快速传输算法研究（项目编号2018CFB661）</w:t>
            </w:r>
          </w:p>
          <w:p w14:paraId="3B96D377">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2）湖北省教育厅哲学社会科学研究项目，基于区块链技术的金融科技风险及其监管机制研究（项目编号20D074）</w:t>
            </w:r>
          </w:p>
          <w:p w14:paraId="345A4F7F">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3）湖北省高等学校省级教学改革研究项目2项，新工科背景下“金融科技”人才培养模式研究（项目编号2020573）；面向新工科的OBE理念与协同创新结合的实践教育改革研究（项目编号2017535）</w:t>
            </w:r>
          </w:p>
          <w:p w14:paraId="5E69BD66">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4）湖北省教育厅科研项目，城市动态交通信息的时空模型及关键技术研究 (项目编号Q20121906)</w:t>
            </w:r>
          </w:p>
          <w:p w14:paraId="1CB377E5">
            <w:pPr>
              <w:snapToGrid w:val="0"/>
              <w:spacing w:line="360"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5）湖北省教育厅科研项目，面向动态导航交通信息地图表达与可视化研究 (项目编号B20102202).</w:t>
            </w:r>
          </w:p>
          <w:p w14:paraId="2ABEA485">
            <w:pPr>
              <w:snapToGrid w:val="0"/>
              <w:spacing w:line="360" w:lineRule="auto"/>
              <w:ind w:firstLine="412" w:firstLineChars="200"/>
              <w:rPr>
                <w:rFonts w:hint="default" w:ascii="Times New Roman" w:hAnsi="Times New Roman" w:eastAsia="宋体" w:cs="Times New Roman"/>
                <w:b w:val="0"/>
                <w:bCs/>
                <w:sz w:val="21"/>
                <w:szCs w:val="21"/>
              </w:rPr>
            </w:pPr>
            <w:r>
              <w:rPr>
                <w:rFonts w:hint="default" w:ascii="Times New Roman" w:hAnsi="Times New Roman" w:eastAsia="宋体" w:cs="Times New Roman"/>
                <w:bCs/>
                <w:sz w:val="21"/>
                <w:szCs w:val="21"/>
              </w:rPr>
              <w:t>6）湖北省教育科学“十三五”规划专项资助重点项目(项目编号:2017ZA016)，湖北省教育科学“十二五”规划课题（项目编号2013B128）</w:t>
            </w:r>
            <w:r>
              <w:rPr>
                <w:rFonts w:hint="default" w:ascii="Times New Roman" w:hAnsi="Times New Roman" w:eastAsia="宋体" w:cs="Times New Roman"/>
                <w:b w:val="0"/>
                <w:bCs/>
                <w:sz w:val="21"/>
                <w:szCs w:val="21"/>
              </w:rPr>
              <w:t>）</w:t>
            </w:r>
          </w:p>
          <w:p w14:paraId="42BC25B6">
            <w:pPr>
              <w:keepNext w:val="0"/>
              <w:keepLines w:val="0"/>
              <w:pageBreakBefore w:val="0"/>
              <w:widowControl w:val="0"/>
              <w:kinsoku/>
              <w:wordWrap/>
              <w:overflowPunct/>
              <w:topLinePunct w:val="0"/>
              <w:autoSpaceDE/>
              <w:autoSpaceDN/>
              <w:bidi w:val="0"/>
              <w:adjustRightInd/>
              <w:snapToGrid w:val="0"/>
              <w:spacing w:line="312" w:lineRule="auto"/>
              <w:ind w:firstLine="412" w:firstLineChars="200"/>
              <w:textAlignment w:val="auto"/>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代表性论文：</w:t>
            </w:r>
          </w:p>
          <w:p w14:paraId="081B8681">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[1].Ying Song, Chaohao Sun, Wangyi Feng, Hongwei Luo and Baolin Sun(通讯作者). Cubic Permutation Polynomial-based Sliding Window Network Coding Algorithm in IoT. IEEE Internet of Things Journal, 2023, 10(21): 19234-19243, SCI收录,中科院一区期刊</w:t>
            </w:r>
          </w:p>
          <w:p w14:paraId="6B339838">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[2].Ying Song, Research on Multi-Dimensional Trust Evaluation Mechanism of FinTech Based on Blockchain IEEE Access, 2022, 10:57025-57036  JCR 2区, SCI收录</w:t>
            </w:r>
          </w:p>
          <w:p w14:paraId="318E3B31">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[2].Ying Song, Hongwei Luo, Shangchao Pi*, Chao Gui, Baolin Sun*, Graph Kernel Based Clustering Algorithm in MANETs, IEEE Access, 2020, 8:107650-107660. JCR 1区, SCI、EI 收录，中科院二区期刊</w:t>
            </w:r>
          </w:p>
          <w:p w14:paraId="5E09E6DA">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[3].宋莺，钟忺，孙宝林，桂超. MANET中基于滑动窗口的网络编码协作算法.计算机科学. 2020, 47(11): 322-326.</w:t>
            </w:r>
          </w:p>
          <w:p w14:paraId="4C5B3847">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[5].宋莺，孙宝林等.  Ad Hoc网络路由协议的性能分析与比较. 华中科技大学学报(自然科学版).2013,41:172-175.  EI收录</w:t>
            </w:r>
          </w:p>
          <w:p w14:paraId="1B1EEE99">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[6].宋莺,李清泉. 实时交通信息与移动导航电子地图融合表达. 武汉大学学报信息科学版， 2010,35(9):1108~1111. EI-收录</w:t>
            </w:r>
          </w:p>
          <w:p w14:paraId="0B604966">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学术专著：</w:t>
            </w:r>
          </w:p>
          <w:p w14:paraId="3200DFF1">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[1].宋莺,孙宝林. 移动金融支付的风险模型及评价机制.中国金融出版社，2020年9月</w:t>
            </w:r>
          </w:p>
          <w:p w14:paraId="39BFF7E3">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发明专利：</w:t>
            </w:r>
          </w:p>
          <w:p w14:paraId="320A6523">
            <w:pPr>
              <w:snapToGrid w:val="0"/>
              <w:spacing w:line="312" w:lineRule="auto"/>
              <w:ind w:firstLine="412" w:firstLineChars="200"/>
              <w:rPr>
                <w:rFonts w:hint="default" w:ascii="Times New Roman" w:hAnsi="Times New Roman" w:eastAsia="宋体" w:cs="Times New Roman"/>
                <w:bCs/>
                <w:sz w:val="21"/>
                <w:szCs w:val="21"/>
              </w:rPr>
            </w:pPr>
            <w:r>
              <w:rPr>
                <w:rFonts w:hint="default" w:ascii="Times New Roman" w:hAnsi="Times New Roman" w:eastAsia="宋体" w:cs="Times New Roman"/>
                <w:bCs/>
                <w:sz w:val="21"/>
                <w:szCs w:val="21"/>
              </w:rPr>
              <w:t>[1].一种基于网络编码的移动金融支付数据的快速传输方法.（专利号：ZL 201811321388.X，授权时间：2022-04-12）</w:t>
            </w:r>
          </w:p>
          <w:p w14:paraId="2C07A5CE">
            <w:pPr>
              <w:snapToGrid w:val="0"/>
              <w:spacing w:line="240" w:lineRule="exact"/>
              <w:rPr>
                <w:b/>
                <w:szCs w:val="21"/>
              </w:rPr>
            </w:pPr>
            <w:r>
              <w:rPr>
                <w:rFonts w:hint="default" w:ascii="Times New Roman" w:hAnsi="Times New Roman" w:eastAsia="宋体" w:cs="Times New Roman"/>
                <w:bCs/>
                <w:sz w:val="21"/>
                <w:szCs w:val="21"/>
              </w:rPr>
              <w:t>[2].一种基于二次置换多项式的滑动窗口网络编码方法（专利号:ZL201811362272.0, 授权时间：2021-07-06）</w:t>
            </w:r>
          </w:p>
        </w:tc>
      </w:tr>
      <w:tr w14:paraId="12FA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750" w:type="dxa"/>
            <w:vMerge w:val="restart"/>
            <w:textDirection w:val="tbRlV"/>
            <w:vAlign w:val="center"/>
          </w:tcPr>
          <w:p w14:paraId="18EFB97D">
            <w:pPr>
              <w:ind w:left="113" w:right="113"/>
              <w:jc w:val="center"/>
              <w:rPr>
                <w:rFonts w:hint="eastAsia" w:eastAsia="仿宋_GB2312"/>
                <w:b/>
                <w:sz w:val="24"/>
                <w:lang w:val="en-US" w:eastAsia="zh-CN"/>
              </w:rPr>
            </w:pPr>
            <w:r>
              <w:rPr>
                <w:rFonts w:hint="default" w:ascii="Times New Roman" w:hAnsi="Times New Roman" w:cs="Times New Roman"/>
                <w:b/>
                <w:sz w:val="24"/>
              </w:rPr>
              <w:t>指导教师</w:t>
            </w:r>
          </w:p>
        </w:tc>
        <w:tc>
          <w:tcPr>
            <w:tcW w:w="1274" w:type="dxa"/>
            <w:tcBorders>
              <w:top w:val="single" w:color="auto" w:sz="4" w:space="0"/>
              <w:bottom w:val="single" w:color="auto" w:sz="4" w:space="0"/>
            </w:tcBorders>
            <w:vAlign w:val="center"/>
          </w:tcPr>
          <w:p w14:paraId="619D9A79">
            <w:pPr>
              <w:jc w:val="center"/>
              <w:rPr>
                <w:rFonts w:hint="default" w:ascii="Times New Roman" w:hAnsi="Times New Roman" w:eastAsia="宋体" w:cs="Times New Roman"/>
                <w:b/>
                <w:sz w:val="24"/>
              </w:rPr>
            </w:pPr>
            <w:r>
              <w:rPr>
                <w:rFonts w:hint="default" w:ascii="Times New Roman" w:hAnsi="Times New Roman" w:eastAsia="宋体" w:cs="Times New Roman"/>
                <w:b/>
                <w:sz w:val="24"/>
              </w:rPr>
              <w:t>姓名</w:t>
            </w:r>
          </w:p>
        </w:tc>
        <w:tc>
          <w:tcPr>
            <w:tcW w:w="2138" w:type="dxa"/>
            <w:gridSpan w:val="4"/>
            <w:tcBorders>
              <w:top w:val="single" w:color="auto" w:sz="4" w:space="0"/>
              <w:bottom w:val="single" w:color="auto" w:sz="4" w:space="0"/>
            </w:tcBorders>
            <w:vAlign w:val="center"/>
          </w:tcPr>
          <w:p w14:paraId="39BBC55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谭生龙</w:t>
            </w:r>
          </w:p>
        </w:tc>
        <w:tc>
          <w:tcPr>
            <w:tcW w:w="1153" w:type="dxa"/>
            <w:gridSpan w:val="2"/>
            <w:tcBorders>
              <w:top w:val="single" w:color="auto" w:sz="4" w:space="0"/>
              <w:bottom w:val="single" w:color="auto" w:sz="4" w:space="0"/>
            </w:tcBorders>
            <w:vAlign w:val="center"/>
          </w:tcPr>
          <w:p w14:paraId="2375095C">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szCs w:val="21"/>
              </w:rPr>
            </w:pPr>
            <w:r>
              <w:rPr>
                <w:rFonts w:hint="default" w:ascii="Times New Roman" w:hAnsi="Times New Roman" w:eastAsia="宋体" w:cs="Times New Roman"/>
                <w:b/>
                <w:sz w:val="24"/>
              </w:rPr>
              <w:t>研究方向</w:t>
            </w:r>
          </w:p>
        </w:tc>
        <w:tc>
          <w:tcPr>
            <w:tcW w:w="3853" w:type="dxa"/>
            <w:gridSpan w:val="3"/>
            <w:tcBorders>
              <w:top w:val="single" w:color="auto" w:sz="4" w:space="0"/>
              <w:bottom w:val="single" w:color="auto" w:sz="4" w:space="0"/>
            </w:tcBorders>
            <w:vAlign w:val="center"/>
          </w:tcPr>
          <w:p w14:paraId="0032BFC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bCs/>
                <w:sz w:val="21"/>
                <w:szCs w:val="21"/>
              </w:rPr>
              <w:t>数据挖掘与处理、基因组及医疗大数据的挖掘与处理，</w:t>
            </w:r>
            <w:r>
              <w:rPr>
                <w:rFonts w:hint="default" w:ascii="Times New Roman" w:hAnsi="Times New Roman" w:eastAsia="宋体" w:cs="Times New Roman"/>
                <w:bCs/>
                <w:color w:val="333333"/>
                <w:sz w:val="21"/>
                <w:szCs w:val="21"/>
                <w:shd w:val="clear" w:color="auto" w:fill="FFFFFF"/>
              </w:rPr>
              <w:t>系统仿真、雷达信号处理</w:t>
            </w:r>
          </w:p>
        </w:tc>
      </w:tr>
      <w:tr w14:paraId="07DD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750" w:type="dxa"/>
            <w:vMerge w:val="continue"/>
            <w:textDirection w:val="tbRlV"/>
            <w:vAlign w:val="center"/>
          </w:tcPr>
          <w:p w14:paraId="65100BA9">
            <w:pPr>
              <w:ind w:left="113" w:right="113"/>
              <w:jc w:val="center"/>
              <w:rPr>
                <w:b/>
                <w:sz w:val="24"/>
              </w:rPr>
            </w:pPr>
          </w:p>
        </w:tc>
        <w:tc>
          <w:tcPr>
            <w:tcW w:w="1274" w:type="dxa"/>
            <w:tcBorders>
              <w:top w:val="single" w:color="auto" w:sz="4" w:space="0"/>
              <w:bottom w:val="single" w:color="auto" w:sz="4" w:space="0"/>
            </w:tcBorders>
            <w:vAlign w:val="center"/>
          </w:tcPr>
          <w:p w14:paraId="3473B418">
            <w:pPr>
              <w:jc w:val="center"/>
              <w:rPr>
                <w:rFonts w:hint="default" w:ascii="Times New Roman" w:hAnsi="Times New Roman" w:eastAsia="宋体" w:cs="Times New Roman"/>
                <w:b/>
                <w:sz w:val="24"/>
              </w:rPr>
            </w:pPr>
            <w:r>
              <w:rPr>
                <w:rFonts w:hint="default" w:ascii="Times New Roman" w:hAnsi="Times New Roman" w:eastAsia="宋体" w:cs="Times New Roman"/>
                <w:b/>
                <w:sz w:val="24"/>
              </w:rPr>
              <w:t>年龄</w:t>
            </w:r>
          </w:p>
        </w:tc>
        <w:tc>
          <w:tcPr>
            <w:tcW w:w="2138" w:type="dxa"/>
            <w:gridSpan w:val="4"/>
            <w:tcBorders>
              <w:top w:val="single" w:color="auto" w:sz="4" w:space="0"/>
              <w:bottom w:val="single" w:color="auto" w:sz="4" w:space="0"/>
            </w:tcBorders>
            <w:vAlign w:val="center"/>
          </w:tcPr>
          <w:p w14:paraId="787DA29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46</w:t>
            </w:r>
          </w:p>
        </w:tc>
        <w:tc>
          <w:tcPr>
            <w:tcW w:w="1153" w:type="dxa"/>
            <w:gridSpan w:val="2"/>
            <w:tcBorders>
              <w:top w:val="single" w:color="auto" w:sz="4" w:space="0"/>
              <w:bottom w:val="single" w:color="auto" w:sz="4" w:space="0"/>
            </w:tcBorders>
            <w:vAlign w:val="center"/>
          </w:tcPr>
          <w:p w14:paraId="2F3D4D3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szCs w:val="21"/>
              </w:rPr>
            </w:pPr>
            <w:r>
              <w:rPr>
                <w:rFonts w:hint="default" w:ascii="Times New Roman" w:hAnsi="Times New Roman" w:eastAsia="宋体" w:cs="Times New Roman"/>
                <w:b/>
                <w:sz w:val="24"/>
              </w:rPr>
              <w:t>行政职务/专业技术职务</w:t>
            </w:r>
          </w:p>
        </w:tc>
        <w:tc>
          <w:tcPr>
            <w:tcW w:w="3853" w:type="dxa"/>
            <w:gridSpan w:val="3"/>
            <w:tcBorders>
              <w:top w:val="single" w:color="auto" w:sz="4" w:space="0"/>
              <w:bottom w:val="single" w:color="auto" w:sz="4" w:space="0"/>
            </w:tcBorders>
            <w:vAlign w:val="center"/>
          </w:tcPr>
          <w:p w14:paraId="407AAC1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sz w:val="21"/>
                <w:szCs w:val="21"/>
              </w:rPr>
            </w:pPr>
            <w:r>
              <w:rPr>
                <w:rFonts w:hint="default" w:ascii="Times New Roman" w:hAnsi="Times New Roman" w:eastAsia="宋体" w:cs="Times New Roman"/>
                <w:sz w:val="21"/>
                <w:szCs w:val="21"/>
              </w:rPr>
              <w:t>副教授</w:t>
            </w:r>
          </w:p>
        </w:tc>
      </w:tr>
      <w:tr w14:paraId="0295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4" w:hRule="atLeast"/>
        </w:trPr>
        <w:tc>
          <w:tcPr>
            <w:tcW w:w="750" w:type="dxa"/>
            <w:vMerge w:val="continue"/>
            <w:textDirection w:val="tbRlV"/>
            <w:vAlign w:val="center"/>
          </w:tcPr>
          <w:p w14:paraId="505582EB">
            <w:pPr>
              <w:ind w:left="0" w:right="0"/>
              <w:jc w:val="center"/>
              <w:rPr>
                <w:b/>
                <w:sz w:val="24"/>
              </w:rPr>
            </w:pPr>
          </w:p>
        </w:tc>
        <w:tc>
          <w:tcPr>
            <w:tcW w:w="1274" w:type="dxa"/>
            <w:tcBorders>
              <w:top w:val="single" w:color="auto" w:sz="4" w:space="0"/>
              <w:bottom w:val="single" w:color="auto" w:sz="4" w:space="0"/>
            </w:tcBorders>
            <w:vAlign w:val="center"/>
          </w:tcPr>
          <w:p w14:paraId="64A93E84">
            <w:pPr>
              <w:jc w:val="center"/>
              <w:rPr>
                <w:rFonts w:hint="eastAsia"/>
                <w:b/>
                <w:sz w:val="24"/>
              </w:rPr>
            </w:pPr>
            <w:r>
              <w:rPr>
                <w:rFonts w:hint="eastAsia"/>
                <w:b/>
                <w:sz w:val="24"/>
              </w:rPr>
              <w:t>主要成果</w:t>
            </w:r>
          </w:p>
        </w:tc>
        <w:tc>
          <w:tcPr>
            <w:tcW w:w="7144" w:type="dxa"/>
            <w:gridSpan w:val="9"/>
            <w:tcBorders>
              <w:top w:val="single" w:color="auto" w:sz="4" w:space="0"/>
              <w:bottom w:val="single" w:color="auto" w:sz="4" w:space="0"/>
            </w:tcBorders>
            <w:vAlign w:val="top"/>
          </w:tcPr>
          <w:p w14:paraId="00E2612B">
            <w:pPr>
              <w:snapToGrid w:val="0"/>
              <w:spacing w:line="360" w:lineRule="auto"/>
              <w:ind w:left="94" w:leftChars="30" w:firstLine="412" w:firstLineChars="200"/>
              <w:rPr>
                <w:b/>
                <w:szCs w:val="21"/>
              </w:rPr>
            </w:pPr>
            <w:r>
              <w:rPr>
                <w:rFonts w:hint="default" w:ascii="Times New Roman" w:hAnsi="Times New Roman" w:eastAsia="宋体" w:cs="Times New Roman"/>
                <w:sz w:val="21"/>
                <w:szCs w:val="21"/>
              </w:rPr>
              <w:t>谭生龙主持和参与湖北省科技厅、湖北省教育厅科研项目多项，出版学生专著一部，发表SCI检索、EI检索及核心期刊论文二十多篇。</w:t>
            </w:r>
          </w:p>
        </w:tc>
      </w:tr>
      <w:tr w14:paraId="5C74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3" w:hRule="atLeast"/>
        </w:trPr>
        <w:tc>
          <w:tcPr>
            <w:tcW w:w="9168" w:type="dxa"/>
            <w:gridSpan w:val="11"/>
            <w:vAlign w:val="top"/>
          </w:tcPr>
          <w:p w14:paraId="29B2D42A">
            <w:pPr>
              <w:pStyle w:val="21"/>
              <w:bidi w:val="0"/>
              <w:rPr>
                <w:rFonts w:hint="default"/>
              </w:rPr>
            </w:pPr>
            <w:r>
              <w:rPr>
                <w:rFonts w:hint="default"/>
              </w:rPr>
              <w:t>一、项目实施的目的、意义</w:t>
            </w:r>
          </w:p>
          <w:p w14:paraId="4C821C4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快节奏的现代都市生活中，宠物已经成为许多独居青年和上班族不可或缺的情感寄托。然而，一个不可忽视的现状是：主人们白天大多需要离家工作8到10个小时，这漫长的白天里，宠物只能独自面对空荡荡的房间。长期的孤独不仅剥夺了它们本该活跃的天性，更容易引发分离焦虑，导致宠物出现持续吠叫、破坏家具甚至精神萎靡等异常行为。尽管市面上已经存在自动喂食器或定点监控摄像头，但这些冷冰冰的设备只能满足宠物最基本的生理需求，无法提供动态的陪伴与互动。针对这一普遍的养宠痛点，本项目拟设计并实现一款“灵眸伴宠”智能伴随机器人。通过引入视觉识别与环境感知技术，让机器人在主人外出时充当宠物的“玩伴”，实现主动寻找、动态跟随与趣味互动，从而有效缓解宠物的心理压力。</w:t>
            </w:r>
          </w:p>
          <w:p w14:paraId="3683EBD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与此同时，我们注意到，目前市场上具备自主跟随功能的宠物机器人往往定位高端，动辄数千元的价格让许多普通养宠家庭望而却步。高昂的成本主要源于过度冗余的算力堆砌和昂贵的硬件方案。为了让智能陪伴真正走进千家万户，本项目确立了“低成本、轻量化”的核心研发路线。我们采用性价比极高的STM32单片机作为核心控制器，结合精简的多传感器融合算法，力求在保障核心跟随与避障功能的前提下，将整机物料成本严控在500元以内，以此填补下沉市场的空白，提升大众养宠的幸福感。</w:t>
            </w:r>
          </w:p>
          <w:p w14:paraId="7DFC8B3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仅如此，“灵眸伴宠”的研发过程本身也是一次极佳的工程实践。团队成员需要将课堂上学到的微机原理、PID控制算法、传感器集成等理论知识融会贯通，在解决低算力平台下图像识别卡顿、复杂路线避障等真实技术难题的过程中，完成从理论学习到产品落地的蜕变，具有深厚的育人与实践意义。</w:t>
            </w:r>
          </w:p>
          <w:p w14:paraId="689879D0">
            <w:pPr>
              <w:pStyle w:val="21"/>
              <w:bidi w:val="0"/>
              <w:rPr>
                <w:rFonts w:hint="default"/>
              </w:rPr>
            </w:pPr>
            <w:r>
              <w:rPr>
                <w:rFonts w:hint="default"/>
              </w:rPr>
              <w:t>二、项目研究内容和拟解决的关键问题</w:t>
            </w:r>
          </w:p>
          <w:p w14:paraId="42FED6F0">
            <w:pPr>
              <w:pStyle w:val="22"/>
              <w:keepNext w:val="0"/>
              <w:keepLines w:val="0"/>
              <w:pageBreakBefore w:val="0"/>
              <w:widowControl w:val="0"/>
              <w:kinsoku/>
              <w:wordWrap/>
              <w:overflowPunct/>
              <w:topLinePunct w:val="0"/>
              <w:autoSpaceDE/>
              <w:autoSpaceDN/>
              <w:bidi w:val="0"/>
              <w:adjustRightInd/>
              <w:snapToGrid/>
              <w:spacing w:line="420" w:lineRule="exact"/>
              <w:textAlignment w:val="auto"/>
              <w:rPr>
                <w:rFonts w:hint="default"/>
              </w:rPr>
            </w:pPr>
            <w:r>
              <w:rPr>
                <w:rFonts w:hint="eastAsia"/>
                <w:lang w:eastAsia="zh-CN"/>
              </w:rPr>
              <w:t>（</w:t>
            </w:r>
            <w:r>
              <w:rPr>
                <w:rFonts w:hint="eastAsia"/>
                <w:lang w:val="en-US" w:eastAsia="zh-CN"/>
              </w:rPr>
              <w:t>一）</w:t>
            </w:r>
            <w:r>
              <w:rPr>
                <w:rFonts w:hint="default"/>
              </w:rPr>
              <w:t>项目内容</w:t>
            </w:r>
          </w:p>
          <w:p w14:paraId="0B6C83A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设计是一种基于多传感器融合与轻量化嵌入式技术的自主伴随宠物式机器人。利用机器视觉与环境感知技术，可以使机器人主动识别并追踪宠物，从而在主人外出时提供动态的物理与视觉陪伴。将机器人与家庭Wi-Fi网络进行连接，使设备可以获取用户的远程控制指令，并及时反馈宠物的动态画面与环境状态，以提高全天候交互的便捷性。通过利用无线通信、PID闭环控制与多维传感器阵列，对机器人本体进行软硬件协同设计，实现对室内复杂环境、障碍物的精准识别与规避；同时配合声光模块与隐藏式喂食机构，让宠物主人更加便捷地进行远程智能看护，极大提高宠物独自在家时的安全性与趣味性。</w:t>
            </w:r>
          </w:p>
          <w:p w14:paraId="421AAF4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主要由STM32微控制器作为控制核心、多传感器融合感知技术、信息采集模块、数据处理模块、运动与交互模块组成。机器人以STM32单片机为枢纽调度各个外设模块。信息采集模块包含视觉目标识别、超声波测距避障、红外辅助感知；数据处理模块包含自适应跟随算法、动态避障逻辑判断；运动与交互模块包含底盘差分驱动、声光表情显示、APP远程通信。系统体系架构见</w:t>
            </w:r>
            <w:r>
              <w:rPr>
                <w:rFonts w:hint="default" w:ascii="Times New Roman" w:hAnsi="Times New Roman" w:eastAsia="宋体" w:cs="Times New Roman"/>
                <w:sz w:val="24"/>
                <w:szCs w:val="24"/>
                <w:lang w:val="en-US"/>
              </w:rPr>
              <w:fldChar w:fldCharType="begin"/>
            </w:r>
            <w:r>
              <w:rPr>
                <w:rFonts w:hint="default" w:ascii="Times New Roman" w:hAnsi="Times New Roman" w:cs="Times New Roman"/>
                <w:sz w:val="24"/>
                <w:szCs w:val="24"/>
              </w:rPr>
              <w:instrText xml:space="preserve"> REF _Ref21947 \h  \* MERGEFORMAT</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rPr>
              <w:t>图 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5405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632450" cy="2986405"/>
                  <wp:effectExtent l="0" t="0" r="0" b="0"/>
                  <wp:docPr id="3" name="图片 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
                          <pic:cNvPicPr>
                            <a:picLocks noChangeAspect="1"/>
                          </pic:cNvPicPr>
                        </pic:nvPicPr>
                        <pic:blipFill>
                          <a:blip r:embed="rId8"/>
                          <a:srcRect t="5752"/>
                          <a:stretch>
                            <a:fillRect/>
                          </a:stretch>
                        </pic:blipFill>
                        <pic:spPr>
                          <a:xfrm>
                            <a:off x="0" y="0"/>
                            <a:ext cx="5632450" cy="2986405"/>
                          </a:xfrm>
                          <a:prstGeom prst="rect">
                            <a:avLst/>
                          </a:prstGeom>
                        </pic:spPr>
                      </pic:pic>
                    </a:graphicData>
                  </a:graphic>
                </wp:inline>
              </w:drawing>
            </w:r>
          </w:p>
          <w:p w14:paraId="2B9C0A1C">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仿宋_GB2312" w:cs="Times New Roman"/>
                <w:sz w:val="24"/>
                <w:szCs w:val="24"/>
                <w:lang w:eastAsia="zh-CN"/>
              </w:rPr>
            </w:pPr>
            <w:bookmarkStart w:id="0" w:name="_Ref21947"/>
            <w:r>
              <w:t xml:space="preserve">图 </w:t>
            </w:r>
            <w:r>
              <w:fldChar w:fldCharType="begin"/>
            </w:r>
            <w:r>
              <w:instrText xml:space="preserve"> SEQ 图 \* ARABIC </w:instrText>
            </w:r>
            <w:r>
              <w:fldChar w:fldCharType="separate"/>
            </w:r>
            <w:r>
              <w:t>1</w:t>
            </w:r>
            <w:r>
              <w:fldChar w:fldCharType="end"/>
            </w:r>
            <w:bookmarkEnd w:id="0"/>
            <w:r>
              <w:rPr>
                <w:rFonts w:hint="eastAsia"/>
                <w:lang w:eastAsia="zh-CN"/>
              </w:rPr>
              <w:t xml:space="preserve"> 系统体系架构图</w:t>
            </w:r>
          </w:p>
          <w:p w14:paraId="4E00B119">
            <w:pPr>
              <w:pStyle w:val="23"/>
              <w:bidi w:val="0"/>
              <w:rPr>
                <w:rFonts w:hint="default"/>
                <w:lang w:val="en-US"/>
              </w:rPr>
            </w:pPr>
            <w:commentRangeStart w:id="0"/>
            <w:r>
              <w:rPr>
                <w:rFonts w:hint="default"/>
              </w:rPr>
              <w:t>1、</w:t>
            </w:r>
            <w:commentRangeEnd w:id="0"/>
            <w:r>
              <w:commentReference w:id="0"/>
            </w:r>
            <w:r>
              <w:rPr>
                <w:rFonts w:hint="eastAsia"/>
                <w:lang w:val="en-US" w:eastAsia="zh-CN"/>
              </w:rPr>
              <w:t>多模态感知模块</w:t>
            </w:r>
          </w:p>
          <w:p w14:paraId="283FE8E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eastAsia="宋体" w:cs="Times New Roman"/>
                <w:sz w:val="24"/>
                <w:szCs w:val="24"/>
                <w:lang w:val="en-US" w:eastAsia="zh-CN"/>
              </w:rPr>
              <w:t>多模态感知</w:t>
            </w:r>
            <w:r>
              <w:rPr>
                <w:rFonts w:hint="default" w:ascii="Times New Roman" w:hAnsi="Times New Roman" w:eastAsia="宋体" w:cs="Times New Roman"/>
                <w:sz w:val="24"/>
                <w:szCs w:val="24"/>
              </w:rPr>
              <w:t>包含三个部分，分别是视觉目标识别、超声波检测障碍、红外辅助感知。</w:t>
            </w:r>
          </w:p>
          <w:p w14:paraId="18B1850B">
            <w:pPr>
              <w:pStyle w:val="23"/>
              <w:bidi w:val="0"/>
              <w:rPr>
                <w:rFonts w:hint="default"/>
              </w:rPr>
            </w:pPr>
            <w:r>
              <w:rPr>
                <w:rFonts w:hint="default"/>
              </w:rPr>
              <w:t>（1）视觉目标识别</w:t>
            </w:r>
          </w:p>
          <w:p w14:paraId="5006DB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识别原理：通过视觉协处理器搭载的摄像头模块采集环境图像帧，在内部运行轻量化的目标检测算法提取宠物的特征轮廓。当检测到目标后，迅速计算出宠物在画面中的坐标偏移量，并通过串口将位置信息高速传送给主控芯片。</w:t>
            </w:r>
          </w:p>
          <w:p w14:paraId="6E867F0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传感器是机器人的“眼睛”，用于检测室内宠物的具体方位与活动状态。本设计采用OpenMV或K210视觉识别模块。该模块自带边缘算力，能够独立完成繁重的图像处理工作，有效弥补了单一STM32主控处理视频流算力不足的缺陷，实现真正的“算力卸载”，是实现机器人高响应、精准跟随的核心部件。</w:t>
            </w:r>
            <w:r>
              <w:rPr>
                <w:rFonts w:hint="default" w:ascii="Times New Roman" w:hAnsi="Times New Roman" w:eastAsia="宋体" w:cs="Times New Roman"/>
                <w:color w:val="000000" w:themeColor="text1"/>
                <w:sz w:val="24"/>
                <w:szCs w:val="24"/>
                <w14:textFill>
                  <w14:solidFill>
                    <w14:schemeClr w14:val="tx1"/>
                  </w14:solidFill>
                </w14:textFill>
              </w:rPr>
              <w:t>视觉识别模块硬件连接示意图</w:t>
            </w:r>
            <w:r>
              <w:rPr>
                <w:rFonts w:hint="eastAsia" w:ascii="宋体" w:hAnsi="宋体" w:eastAsia="宋体" w:cs="宋体"/>
                <w:b w:val="0"/>
                <w:bCs/>
                <w:sz w:val="24"/>
                <w:szCs w:val="24"/>
                <w:lang w:val="en-US" w:eastAsia="zh-CN"/>
              </w:rPr>
              <w:t>如图2所示。</w:t>
            </w:r>
          </w:p>
          <w:p w14:paraId="3D11D6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40680" cy="882650"/>
                  <wp:effectExtent l="0" t="0" r="0" b="0"/>
                  <wp:docPr id="4" name="图片 4" descr="视觉识别模块硬件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视觉识别模块硬件连接图"/>
                          <pic:cNvPicPr>
                            <a:picLocks noChangeAspect="1"/>
                          </pic:cNvPicPr>
                        </pic:nvPicPr>
                        <pic:blipFill>
                          <a:blip r:embed="rId9"/>
                          <a:srcRect l="3405" t="15010" b="57134"/>
                          <a:stretch>
                            <a:fillRect/>
                          </a:stretch>
                        </pic:blipFill>
                        <pic:spPr>
                          <a:xfrm>
                            <a:off x="0" y="0"/>
                            <a:ext cx="5440680" cy="882650"/>
                          </a:xfrm>
                          <a:prstGeom prst="rect">
                            <a:avLst/>
                          </a:prstGeom>
                        </pic:spPr>
                      </pic:pic>
                    </a:graphicData>
                  </a:graphic>
                </wp:inline>
              </w:drawing>
            </w:r>
          </w:p>
          <w:p w14:paraId="7FF5973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宋体" w:hAnsi="宋体" w:eastAsia="宋体" w:cs="宋体"/>
                <w:b w:val="0"/>
                <w:bCs/>
                <w:sz w:val="24"/>
                <w:szCs w:val="24"/>
                <w:lang w:val="en-US" w:eastAsia="zh-CN"/>
              </w:rPr>
              <w:t xml:space="preserve">图2 </w:t>
            </w:r>
            <w:r>
              <w:rPr>
                <w:rFonts w:hint="default" w:ascii="Times New Roman" w:hAnsi="Times New Roman" w:eastAsia="宋体" w:cs="Times New Roman"/>
                <w:color w:val="000000" w:themeColor="text1"/>
                <w:sz w:val="24"/>
                <w:szCs w:val="24"/>
                <w14:textFill>
                  <w14:solidFill>
                    <w14:schemeClr w14:val="tx1"/>
                  </w14:solidFill>
                </w14:textFill>
              </w:rPr>
              <w:t>视觉识别模块硬件连接示意图</w:t>
            </w:r>
          </w:p>
          <w:p w14:paraId="461D2D6C">
            <w:pPr>
              <w:pStyle w:val="23"/>
              <w:bidi w:val="0"/>
              <w:rPr>
                <w:rFonts w:hint="default"/>
              </w:rPr>
            </w:pPr>
            <w:r>
              <w:rPr>
                <w:rFonts w:hint="default"/>
              </w:rPr>
              <w:t>（2）超声波检测障碍</w:t>
            </w:r>
          </w:p>
          <w:p w14:paraId="0F5887B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测距原理：由超声波发射单元定向发出超声波信号，信号发射瞬间同步启动计时。声波在空气介质中传播，接触障碍物后发生反射，当接收单元捕获回波信号时即刻终止计时。结合计时所得的传播时长，即可精准测算出传感器与障碍物之间的直线距离。</w:t>
            </w:r>
          </w:p>
          <w:p w14:paraId="2E4AA21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超声波传感单元是机器人避障体系的核心检测模块。本方案在机器人底盘前端环形支架上分布式布设多组HC-SR04超声波传感器，并搭配侧边安装的夏普GP2Y1010AU0F红外测距传感器。两类传感器协同工作，既可构建全域障碍物距离数据矩阵，又能弥补超声波在10厘米以内近距检测的盲区缺陷，最终完成360°全范围多源数据融合，实现机器人对周边环境的立体化感知。多传感器避障拓扑图</w:t>
            </w:r>
            <w:r>
              <w:rPr>
                <w:rFonts w:hint="eastAsia" w:ascii="宋体" w:hAnsi="宋体" w:eastAsia="宋体" w:cs="宋体"/>
                <w:b w:val="0"/>
                <w:bCs/>
                <w:sz w:val="24"/>
                <w:szCs w:val="24"/>
                <w:lang w:val="en-US" w:eastAsia="zh-CN"/>
              </w:rPr>
              <w:t>如图3所示。</w:t>
            </w:r>
          </w:p>
          <w:p w14:paraId="459843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328920" cy="1872615"/>
                  <wp:effectExtent l="0" t="0" r="0" b="0"/>
                  <wp:docPr id="5" name="图片 5" descr="多传感器避障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多传感器避障拓扑图"/>
                          <pic:cNvPicPr>
                            <a:picLocks noChangeAspect="1"/>
                          </pic:cNvPicPr>
                        </pic:nvPicPr>
                        <pic:blipFill>
                          <a:blip r:embed="rId10"/>
                          <a:srcRect l="2537" t="9900" r="2852" b="31002"/>
                          <a:stretch>
                            <a:fillRect/>
                          </a:stretch>
                        </pic:blipFill>
                        <pic:spPr>
                          <a:xfrm>
                            <a:off x="0" y="0"/>
                            <a:ext cx="5328920" cy="1872615"/>
                          </a:xfrm>
                          <a:prstGeom prst="rect">
                            <a:avLst/>
                          </a:prstGeom>
                        </pic:spPr>
                      </pic:pic>
                    </a:graphicData>
                  </a:graphic>
                </wp:inline>
              </w:drawing>
            </w:r>
          </w:p>
          <w:p w14:paraId="0EC948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eastAsia" w:eastAsia="宋体" w:cs="Times New Roman"/>
                <w:sz w:val="24"/>
                <w:szCs w:val="24"/>
                <w:lang w:val="en-US" w:eastAsia="zh-CN"/>
              </w:rPr>
              <w:t xml:space="preserve">图3 </w:t>
            </w:r>
            <w:r>
              <w:rPr>
                <w:rFonts w:hint="default" w:ascii="Times New Roman" w:hAnsi="Times New Roman" w:eastAsia="宋体" w:cs="Times New Roman"/>
                <w:sz w:val="24"/>
                <w:szCs w:val="24"/>
                <w:lang w:val="en-US" w:eastAsia="zh-CN"/>
              </w:rPr>
              <w:t>多传感器避障拓扑图</w:t>
            </w:r>
          </w:p>
          <w:p w14:paraId="7660D298">
            <w:pPr>
              <w:pStyle w:val="23"/>
              <w:bidi w:val="0"/>
              <w:rPr>
                <w:rFonts w:hint="default"/>
              </w:rPr>
            </w:pPr>
            <w:r>
              <w:rPr>
                <w:rFonts w:hint="eastAsia"/>
                <w:lang w:eastAsia="zh-CN"/>
              </w:rPr>
              <w:t>（</w:t>
            </w:r>
            <w:r>
              <w:rPr>
                <w:rFonts w:hint="eastAsia"/>
                <w:lang w:val="en-US" w:eastAsia="zh-CN"/>
              </w:rPr>
              <w:t>3）</w:t>
            </w:r>
            <w:r>
              <w:rPr>
                <w:rFonts w:hint="default"/>
              </w:rPr>
              <w:t>红外辅助感知</w:t>
            </w:r>
          </w:p>
          <w:p w14:paraId="1FDE4580">
            <w:pPr>
              <w:keepNext w:val="0"/>
              <w:keepLines w:val="0"/>
              <w:pageBreakBefore w:val="0"/>
              <w:widowControl w:val="0"/>
              <w:numPr>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距原理：利用红外发射管发出特定波长的红外线，当红外线遇到前方障碍物时发生反射，由红外接收管捕获反射回来的光信号。系统通过计算光束反射的强度差或相位差，能够以极高的灵敏度探测出近距离范围内物体的存在与方位。</w:t>
            </w:r>
          </w:p>
          <w:p w14:paraId="4F7A4092">
            <w:pPr>
              <w:keepNext w:val="0"/>
              <w:keepLines w:val="0"/>
              <w:pageBreakBefore w:val="0"/>
              <w:widowControl w:val="0"/>
              <w:numPr>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仅依靠超声波会存在声波发射与接收的近距离盲区，红外测距传感器则是多模态感知中不可或缺的近距离防线。本设计在机器人底盘侧边及易碰撞死角位置加装夏普GP2Y1010AU0F（或VL53L0X）红外测距传感器。其专门负责对近场盲区（&lt;10cm）进行极端补充检测与防跌落监测。通过视觉、超声波与红外三类传感器的数据时间配准与空间坐标统一，最终完成360°全范围的多源数据融合，实现对周边环境真正的无死角立体化感知。</w:t>
            </w:r>
          </w:p>
          <w:p w14:paraId="17ABD88A">
            <w:pPr>
              <w:pStyle w:val="23"/>
              <w:bidi w:val="0"/>
              <w:rPr>
                <w:rFonts w:hint="default"/>
                <w:lang w:val="en-US"/>
              </w:rPr>
            </w:pPr>
            <w:r>
              <w:rPr>
                <w:rFonts w:hint="default"/>
              </w:rPr>
              <w:t>2、</w:t>
            </w:r>
            <w:commentRangeStart w:id="1"/>
            <w:r>
              <w:rPr>
                <w:rFonts w:hint="default"/>
              </w:rPr>
              <w:t>数</w:t>
            </w:r>
            <w:r>
              <w:rPr>
                <w:rFonts w:hint="eastAsia"/>
                <w:lang w:val="en-US" w:eastAsia="zh-CN"/>
              </w:rPr>
              <w:t>据</w:t>
            </w:r>
            <w:commentRangeEnd w:id="1"/>
            <w:r>
              <w:commentReference w:id="1"/>
            </w:r>
            <w:r>
              <w:rPr>
                <w:rFonts w:hint="eastAsia"/>
                <w:lang w:val="en-US" w:eastAsia="zh-CN"/>
              </w:rPr>
              <w:t>融合与关键算法</w:t>
            </w:r>
          </w:p>
          <w:p w14:paraId="2C5AC22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数据分析主要包含自适应跟随处理、动态避障判断两个核心决策部分。</w:t>
            </w:r>
          </w:p>
          <w:p w14:paraId="3A2467D0">
            <w:pPr>
              <w:pStyle w:val="23"/>
              <w:bidi w:val="0"/>
              <w:rPr>
                <w:rFonts w:hint="default"/>
              </w:rPr>
            </w:pPr>
            <w:r>
              <w:rPr>
                <w:rFonts w:hint="default"/>
              </w:rPr>
              <w:t>（1）自适应跟随处理</w:t>
            </w:r>
          </w:p>
          <w:p w14:paraId="56FD453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行信息采集后，选用STM32微处理器来接收和处理海量原始数据。系统将采集到的视觉坐标信号与超声波、红外距离信号进行多源融合与时间配准。在精确锁定宠物位置后，利用自适应距离与速度的双闭环控制算法实时解算，输出底盘电机的目标PID参数。考虑到宠物生性好动且轨迹具有高突变性，系统特设柔性约束机制，使得跟随距离始终被动态控制在0.5-1.5米的黄金安全区间内，既保持亲密互动，又避免了因贴身逼近造成的宠物惊吓与应激反应。在经过接收、融合、滤波处理之后，便可向底层输出平滑且稳定的数字驱动信号。跟随算法数据处理流程图见图4。</w:t>
            </w:r>
          </w:p>
          <w:p w14:paraId="0BF4EB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628390" cy="3240405"/>
                  <wp:effectExtent l="0" t="0" r="0" b="0"/>
                  <wp:docPr id="6" name="图片 6" descr="自适应跟随算法数据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自适应跟随算法数据处理流程图"/>
                          <pic:cNvPicPr>
                            <a:picLocks noChangeAspect="1"/>
                          </pic:cNvPicPr>
                        </pic:nvPicPr>
                        <pic:blipFill>
                          <a:blip r:embed="rId11"/>
                          <a:srcRect l="18478" r="17103" b="-2265"/>
                          <a:stretch>
                            <a:fillRect/>
                          </a:stretch>
                        </pic:blipFill>
                        <pic:spPr>
                          <a:xfrm>
                            <a:off x="0" y="0"/>
                            <a:ext cx="3628390" cy="3240405"/>
                          </a:xfrm>
                          <a:prstGeom prst="rect">
                            <a:avLst/>
                          </a:prstGeom>
                        </pic:spPr>
                      </pic:pic>
                    </a:graphicData>
                  </a:graphic>
                </wp:inline>
              </w:drawing>
            </w:r>
          </w:p>
          <w:p w14:paraId="34E0CC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eastAsia="宋体" w:cs="Times New Roman"/>
                <w:sz w:val="24"/>
                <w:szCs w:val="24"/>
                <w:lang w:val="en-US" w:eastAsia="zh-CN"/>
              </w:rPr>
              <w:t xml:space="preserve">图4 </w:t>
            </w:r>
            <w:r>
              <w:rPr>
                <w:rFonts w:hint="eastAsia" w:ascii="Times New Roman" w:hAnsi="Times New Roman" w:eastAsia="宋体" w:cs="Times New Roman"/>
                <w:sz w:val="24"/>
                <w:szCs w:val="24"/>
                <w:lang w:eastAsia="zh-CN"/>
              </w:rPr>
              <w:t>自适应跟随算法数据处理流程图</w:t>
            </w:r>
          </w:p>
          <w:p w14:paraId="3ABDA531">
            <w:pPr>
              <w:pStyle w:val="23"/>
              <w:bidi w:val="0"/>
              <w:rPr>
                <w:rFonts w:hint="default"/>
              </w:rPr>
            </w:pPr>
            <w:r>
              <w:rPr>
                <w:rFonts w:hint="default"/>
              </w:rPr>
              <w:t>（2）动态避障判断</w:t>
            </w:r>
          </w:p>
          <w:p w14:paraId="515AC87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机器人执行跟随任务的过程中，系统以高频实时轮询超声波与红外传感器传回的距离阈值。当检测到前方存在家具或墙角等物理障碍时，STM32主控迅速触发避障优先中断，采用“前置预判-平滑绕行-轨迹恢复”的柔性避障策略。此时，底层运动模型会即刻调整左右侧电机的差速比，无需设备停顿或原地打转重规划，即可划出平滑弧线顺畅绕行；避障动作结束后，系统无缝切回视觉坐标，迅速恢复对宠物的动态追踪。</w:t>
            </w:r>
          </w:p>
          <w:p w14:paraId="4898B426">
            <w:pPr>
              <w:pStyle w:val="23"/>
              <w:bidi w:val="0"/>
              <w:rPr>
                <w:rFonts w:hint="default"/>
                <w:lang w:val="en-US"/>
              </w:rPr>
            </w:pPr>
            <w:r>
              <w:rPr>
                <w:rFonts w:hint="default"/>
              </w:rPr>
              <w:t>3、</w:t>
            </w:r>
            <w:r>
              <w:commentReference w:id="2"/>
            </w:r>
            <w:r>
              <w:rPr>
                <w:rFonts w:hint="eastAsia"/>
                <w:lang w:val="en-US" w:eastAsia="zh-CN"/>
              </w:rPr>
              <w:t>系统集成交互</w:t>
            </w:r>
          </w:p>
          <w:p w14:paraId="7E7330DC">
            <w:pPr>
              <w:pStyle w:val="23"/>
              <w:bidi w:val="0"/>
              <w:rPr>
                <w:rFonts w:hint="default"/>
              </w:rPr>
            </w:pPr>
            <w:r>
              <w:rPr>
                <w:rFonts w:hint="default"/>
              </w:rPr>
              <w:t>（1）电机驱动与连接</w:t>
            </w:r>
          </w:p>
          <w:p w14:paraId="4705039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机器人在完成数据处理并规划出避障或跟随路径后，主控定时器将PWM信号传送给电机驱动芯片（选用TB6612或L298N），驱动底盘上的直流减速电机。接收到控制信号后，电机带动防滑橡胶动力轮转动，实现灵活的差分驱动。为保障行进与转向的精准度，电机尾部附带的霍尔编码器会实时将转速脉冲反馈给单片机，形成增量式PID闭环控制。这有效补偿了因地面摩擦力变化带来的行驶误差，确保机器人能够平稳、匀速地完成转向，完美适应瓷砖、木地板、地毯等复杂的家庭地面材质。运动底盘控制连接图如图5。</w:t>
            </w:r>
          </w:p>
          <w:p w14:paraId="294775F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845560" cy="1426210"/>
                  <wp:effectExtent l="0" t="0" r="0" b="0"/>
                  <wp:docPr id="7" name="图片 7" descr="运动底盘控制系统连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运动底盘控制系统连接图"/>
                          <pic:cNvPicPr>
                            <a:picLocks noChangeAspect="1"/>
                          </pic:cNvPicPr>
                        </pic:nvPicPr>
                        <pic:blipFill>
                          <a:blip r:embed="rId12"/>
                          <a:srcRect l="8850" t="12585" r="22875" b="42405"/>
                          <a:stretch>
                            <a:fillRect/>
                          </a:stretch>
                        </pic:blipFill>
                        <pic:spPr>
                          <a:xfrm>
                            <a:off x="0" y="0"/>
                            <a:ext cx="3845560" cy="1426210"/>
                          </a:xfrm>
                          <a:prstGeom prst="rect">
                            <a:avLst/>
                          </a:prstGeom>
                        </pic:spPr>
                      </pic:pic>
                    </a:graphicData>
                  </a:graphic>
                </wp:inline>
              </w:drawing>
            </w:r>
          </w:p>
          <w:p w14:paraId="3E2960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eastAsia" w:eastAsia="宋体" w:cs="Times New Roman"/>
                <w:sz w:val="24"/>
                <w:szCs w:val="24"/>
                <w:lang w:val="en-US" w:eastAsia="zh-CN"/>
              </w:rPr>
              <w:t xml:space="preserve">图5 </w:t>
            </w:r>
            <w:r>
              <w:rPr>
                <w:rFonts w:hint="default" w:ascii="Times New Roman" w:hAnsi="Times New Roman" w:eastAsia="宋体" w:cs="Times New Roman"/>
                <w:sz w:val="24"/>
                <w:szCs w:val="24"/>
              </w:rPr>
              <w:t>运动底盘控制连接图</w:t>
            </w:r>
          </w:p>
          <w:p w14:paraId="7F61BB38">
            <w:pPr>
              <w:pStyle w:val="23"/>
              <w:bidi w:val="0"/>
              <w:rPr>
                <w:rFonts w:hint="default"/>
              </w:rPr>
            </w:pPr>
            <w:bookmarkStart w:id="1" w:name="_GoBack"/>
            <w:bookmarkEnd w:id="1"/>
            <w:r>
              <w:rPr>
                <w:rFonts w:hint="default"/>
              </w:rPr>
              <w:t>（2）声光语音交互</w:t>
            </w:r>
          </w:p>
          <w:p w14:paraId="3E7EA04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备的工作状态以及与宠物的互动反馈，均需通过声光交互模块进行表达。机器人头部面板配备拟物化表情显示模组（或LED矩阵），周边环绕流光灯带。通过改变色彩变幻与呼吸闪烁频率，直观映射设备当前的工作模式（如寻觅、跟随、异常警报）。同时，机身内部集成音频功放与扬声器，在接收到主控指令后，能够解码并播放预设的安抚音频、逗宠音效或电量告警音，赋予机器人生动的情感表达与安抚能力。</w:t>
            </w:r>
          </w:p>
          <w:p w14:paraId="11697629">
            <w:pPr>
              <w:pStyle w:val="23"/>
              <w:bidi w:val="0"/>
              <w:rPr>
                <w:rFonts w:hint="default"/>
              </w:rPr>
            </w:pPr>
            <w:r>
              <w:rPr>
                <w:rFonts w:hint="default"/>
              </w:rPr>
              <w:t>（3）数据通信与可视化</w:t>
            </w:r>
          </w:p>
          <w:p w14:paraId="09619BB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引入ESP8266/ESP32模组搭建Wi-Fi与BLE双模无线通信链路。该模组在后台持续将机器人的第一人称视频流、环境温湿度及设备剩余电量等底层状态，上行透传至用户的手机端APP；同时，实时接收用户从远端下发的虚拟摇杆控制、一键喂食等操作指令。配套的APP界面层科学聚合了“首页总览、视频监控、设备管控”等核心功能区，将复杂的底层机器参数转化为直观、易用的可视化界面，彻底打通人机互联的通道。</w:t>
            </w:r>
          </w:p>
          <w:p w14:paraId="0D2532DD">
            <w:pPr>
              <w:pStyle w:val="23"/>
              <w:bidi w:val="0"/>
              <w:rPr>
                <w:rFonts w:hint="default"/>
              </w:rPr>
            </w:pPr>
            <w:r>
              <w:rPr>
                <w:rFonts w:hint="default"/>
              </w:rPr>
              <w:t>4、软件程序流程图</w:t>
            </w:r>
          </w:p>
          <w:p w14:paraId="28CF5E1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整个系统软件程序主要包括感知层的硬件驱动、核心算法层的数据融合与处理、业务应用层的异常管控与指令流转。信息采集模块涵盖摄像头视觉捕获、多路超声波测距、红外防跌落监测</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数据处理模块涵盖轻量级目标识别算法、多源传感器联合定标、PID闭环调速</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运动与交互模块涵盖电机差速运算、APP状态同步与指令解析。本系统主控单元STM32拥有完善的标准外设库和强大的中断响应机制，极大提高了整体程序调度的可靠性与敏捷度。</w:t>
            </w:r>
          </w:p>
          <w:p w14:paraId="111735C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灵眸伴宠”系统通电后，系统首先执行全机外部设备的初始化自检，随后分线程运行环境数据采集与目标识别程序。启动感知模块后，若视野内未锁定宠物目标，机器人进入定点扫描搜索模式，并伴随寻觅声光提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一旦视觉模块成功捕获宠物特征轮廓，系统即刻拉起自主跟随与动态避障算法主循环。与此同时，无线通信模块在后台异步启动，持续向APP推流并监听远程互动指令。运行期间，一旦系统监测到电池欠压、长时间目标丢失或底盘悬空等异常工况，将立刻切入异常处理分支，机器人本体执行停止移动及声光报警，并向手机APP推送消息预警。系统</w:t>
            </w:r>
            <w:r>
              <w:rPr>
                <w:rFonts w:hint="eastAsia" w:eastAsia="宋体" w:cs="Times New Roman"/>
                <w:sz w:val="24"/>
                <w:szCs w:val="24"/>
                <w:lang w:val="en-US" w:eastAsia="zh-CN"/>
              </w:rPr>
              <w:t>软件</w:t>
            </w:r>
            <w:r>
              <w:rPr>
                <w:rFonts w:hint="default" w:ascii="Times New Roman" w:hAnsi="Times New Roman" w:eastAsia="宋体" w:cs="Times New Roman"/>
                <w:sz w:val="24"/>
                <w:szCs w:val="24"/>
              </w:rPr>
              <w:t>流程图如图6所示。</w:t>
            </w:r>
          </w:p>
          <w:p w14:paraId="13BE08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4150995" cy="5155565"/>
                  <wp:effectExtent l="0" t="0" r="9525" b="10795"/>
                  <wp:docPr id="2" name="图片 2" descr="图3 系统工作流程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 系统工作流程设计图"/>
                          <pic:cNvPicPr>
                            <a:picLocks noChangeAspect="1"/>
                          </pic:cNvPicPr>
                        </pic:nvPicPr>
                        <pic:blipFill>
                          <a:blip r:embed="rId13"/>
                          <a:stretch>
                            <a:fillRect/>
                          </a:stretch>
                        </pic:blipFill>
                        <pic:spPr>
                          <a:xfrm>
                            <a:off x="0" y="0"/>
                            <a:ext cx="4150995" cy="5155565"/>
                          </a:xfrm>
                          <a:prstGeom prst="rect">
                            <a:avLst/>
                          </a:prstGeom>
                        </pic:spPr>
                      </pic:pic>
                    </a:graphicData>
                  </a:graphic>
                </wp:inline>
              </w:drawing>
            </w:r>
          </w:p>
          <w:p w14:paraId="2483017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z w:val="24"/>
                <w:szCs w:val="24"/>
                <w:lang w:eastAsia="zh-CN"/>
              </w:rPr>
            </w:pPr>
          </w:p>
          <w:p w14:paraId="426C5BF1">
            <w:pPr>
              <w:pStyle w:val="22"/>
              <w:keepNext w:val="0"/>
              <w:keepLines w:val="0"/>
              <w:pageBreakBefore w:val="0"/>
              <w:widowControl w:val="0"/>
              <w:numPr>
                <w:ilvl w:val="0"/>
                <w:numId w:val="0"/>
              </w:numPr>
              <w:kinsoku/>
              <w:wordWrap/>
              <w:overflowPunct/>
              <w:topLinePunct w:val="0"/>
              <w:autoSpaceDE/>
              <w:autoSpaceDN/>
              <w:bidi w:val="0"/>
              <w:adjustRightInd/>
              <w:snapToGrid/>
              <w:spacing w:line="420" w:lineRule="exact"/>
              <w:ind w:left="176" w:leftChars="56"/>
              <w:textAlignment w:val="auto"/>
              <w:rPr>
                <w:rFonts w:hint="default"/>
                <w:lang w:val="en-US" w:eastAsia="zh-CN"/>
              </w:rPr>
            </w:pPr>
            <w:r>
              <w:rPr>
                <w:rFonts w:hint="eastAsia" w:ascii="Times New Roman" w:hAnsi="Times New Roman" w:eastAsia="宋体" w:cs="Times New Roman"/>
                <w:b/>
                <w:kern w:val="2"/>
                <w:sz w:val="24"/>
                <w:szCs w:val="24"/>
                <w:lang w:val="en-US" w:eastAsia="zh-CN" w:bidi="ar-SA"/>
              </w:rPr>
              <w:t>（二）</w:t>
            </w:r>
            <w:r>
              <w:rPr>
                <w:rFonts w:hint="default"/>
                <w:lang w:val="en-US" w:eastAsia="zh-CN"/>
              </w:rPr>
              <w:t>拟解决的问题</w:t>
            </w:r>
          </w:p>
          <w:p w14:paraId="40A1EC65">
            <w:pPr>
              <w:pStyle w:val="23"/>
              <w:bidi w:val="0"/>
              <w:rPr>
                <w:rFonts w:hint="default"/>
              </w:rPr>
            </w:pPr>
            <w:r>
              <w:rPr>
                <w:rFonts w:hint="default"/>
              </w:rPr>
              <w:t>1、问题来源</w:t>
            </w:r>
          </w:p>
          <w:p w14:paraId="3975B2F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的研发与系统架构设计过程揭示了当前智能伴宠设备及低算力嵌入式开发领域的几个关键痛点：首先，市场上现有的伴宠设备大多功能单一（如定点监控）或价格高昂（依赖高算力芯片与昂贵的激光雷达），无法满足下沉市场普通养宠家庭的需求；其次，传统设备的跟随逻辑过于生硬，持续性的近距离跟踪极易导致宠物产生压迫感与应激反应，缺乏“宠物友好型”的交互设计；最后，在资源受限的STM32单片机平台上，如何兼顾多传感器数据的高速处理、复杂室内环境的动态避障以及平滑的PID闭环控制，是底层软硬件协同亟待突破的技术瓶颈。</w:t>
            </w:r>
          </w:p>
          <w:p w14:paraId="5FEC7040">
            <w:pPr>
              <w:pStyle w:val="23"/>
              <w:bidi w:val="0"/>
              <w:rPr>
                <w:rFonts w:hint="default"/>
              </w:rPr>
            </w:pPr>
            <w:r>
              <w:rPr>
                <w:rFonts w:hint="default"/>
                <w:lang w:val="en-US" w:eastAsia="zh-CN"/>
              </w:rPr>
              <w:t>2、</w:t>
            </w:r>
            <w:r>
              <w:rPr>
                <w:rFonts w:hint="default"/>
              </w:rPr>
              <w:t>现有问题和解决方案</w:t>
            </w:r>
          </w:p>
          <w:p w14:paraId="4C63E5A4">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（1）低算力平台的感知受限问题。由于STM32处理海量视频流帧数据的算力不足，导致目标识别与追踪响应存在高延迟，可能引发跟随丢失。需引入边缘算力卸载方案，提高系统整体的感知帧率与自主性。</w:t>
            </w:r>
          </w:p>
          <w:p w14:paraId="5017148E">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复杂场景下的避障与跟随冲突问题。室内环境中存在大量家具盲区与光线死角，设备在执行跟随指令时极易发生碰撞或陷入死角卡顿。需建立多维度的环境感知与优先级中断机制，提高设备运行的安全性与鲁棒性。</w:t>
            </w:r>
          </w:p>
          <w:p w14:paraId="149EB696">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（3）设备运转造成的宠物应激问题。机械式的持续逼近与生硬的电机噪音容易惊吓宠物，偏离了产品“陪伴与安抚”的初衷。需对设备的运动学模型与伴随策略进行底层优化，提升产品的交互亲和力。</w:t>
            </w:r>
          </w:p>
          <w:p w14:paraId="79BD7B5D">
            <w:pPr>
              <w:keepNext w:val="0"/>
              <w:keepLines w:val="0"/>
              <w:pageBreakBefore w:val="0"/>
              <w:widowControl w:val="0"/>
              <w:numPr>
                <w:ilvl w:val="0"/>
                <w:numId w:val="0"/>
              </w:numPr>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解决方案：在技术架构上，系统采用“STM32主控+OpenMV视觉协处理器”的双核协同设计，实施算力下放，目标将特征识别响应时间压缩至毫秒级；在硬件布局上，重构传感器阵列，将超声波与红外模块环形分布，实现360度立体感知；在控制逻辑上，引入自适应距离约束与“非连续伴随”策略，配合底盘的增量式PID闭环控制，全面提升设备在室内复杂地形下的运行平稳度与宠物交互体验。</w:t>
            </w:r>
          </w:p>
          <w:p w14:paraId="584D612B">
            <w:pPr>
              <w:pStyle w:val="23"/>
              <w:bidi w:val="0"/>
              <w:rPr>
                <w:rFonts w:hint="default"/>
              </w:rPr>
            </w:pPr>
            <w:r>
              <w:rPr>
                <w:rFonts w:hint="default"/>
              </w:rPr>
              <w:t>3、解决问题的思路</w:t>
            </w:r>
          </w:p>
          <w:p w14:paraId="7257071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本项目“灵眸伴宠”的目的在于通过低成本的嵌入式技术创新，打破高端伴宠设备的市场壁垒，实现家庭宠物智能照护的普及。主要解决了以下几个问题：</w:t>
            </w:r>
          </w:p>
          <w:p w14:paraId="646EC2B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针对低算力单片机无法胜任高精度图像识别的问题，系统将繁重的视觉提取任务交由OpenMV模块独立运行，STM32仅接收处理后的特征坐标偏移量。通过这种“协处理器算力卸载”技术，完美解决了低成本硬件架构与高精度目标捕捉之间的矛盾。</w:t>
            </w:r>
          </w:p>
          <w:p w14:paraId="6DC5130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针对复杂室内环境容易导致设备碰撞与卡死的问题，本项目搭建了“多传感器融合感知网络”。通过将视觉模块的主定向数据，与超声波提供的中远距离避障矩阵、红外传感器提供的近场（&lt;10cm）盲区数据进行时空定标与加权融合。当检测到障碍物时，底层驱动采用“前置预判-平滑绕行”的差分控制策略，解决了避障与跟随的冲突切换问题。</w:t>
            </w:r>
          </w:p>
          <w:p w14:paraId="458DA04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针对传统机器人持续跟踪导致宠物恐慌的问题，本项目在算法层创新植入了“自适应间歇跟随”与距离柔性约束逻辑（动态维持0.5-1.5米安全距离）。结合对霍尔编码器反馈数据进行的PID动态补偿，消除电机起步与急转弯时的机械顿挫，并通过声光表情模块进行柔性安抚，从根本上解决了设备的宠物友好度问题。</w:t>
            </w:r>
          </w:p>
          <w:p w14:paraId="638E552F">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4）针对用户外出时无法实时掌握宠物动态的交互断层问题，本项目利用ESP8266/ESP32模组打通了“端-云双向通信”链路。将设备底层的环境状态、剩余电量及第一人称视频流低延迟透传至配套手机APP，用户可在远端无缝下发虚拟摇杆或自动喂食指令，解决空间隔离带来的照护盲区问题。</w:t>
            </w:r>
          </w:p>
          <w:p w14:paraId="2260F380">
            <w:pPr>
              <w:pStyle w:val="22"/>
              <w:bidi w:val="0"/>
              <w:rPr>
                <w:rFonts w:hint="default"/>
                <w:lang w:val="en-US" w:eastAsia="zh-CN"/>
              </w:rPr>
            </w:pPr>
            <w:commentRangeStart w:id="3"/>
            <w:r>
              <w:rPr>
                <w:rFonts w:hint="eastAsia"/>
                <w:lang w:val="en-US" w:eastAsia="zh-CN"/>
              </w:rPr>
              <w:t>（三）</w:t>
            </w:r>
            <w:r>
              <w:rPr>
                <w:rFonts w:hint="default"/>
                <w:lang w:val="en-US" w:eastAsia="zh-CN"/>
              </w:rPr>
              <w:t>创新点及优势</w:t>
            </w:r>
            <w:commentRangeEnd w:id="3"/>
            <w:r>
              <w:commentReference w:id="3"/>
            </w:r>
          </w:p>
          <w:p w14:paraId="212B81B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（1）通过优化自适应跟随算法，根据宠物的当前位置和运动状态计算出最优的跟随路线。</w:t>
            </w:r>
          </w:p>
          <w:p w14:paraId="7DD2DF2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（2）采用多传感器融合技术，通过视觉、超声波和红外传感器协同工作，为设备提供目标追踪和环境安全提示，以避免在跟随运行中的碰撞隐患。</w:t>
            </w:r>
          </w:p>
          <w:p w14:paraId="10D5F0CD">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（3）运用全场景软硬件协同技术，通过手机端APP实现了主人与宠物之间的远程互动交流。并在机身的内部设计有隐藏式伸缩喂食托盘，为宠物独自在家提供饮食保障，提高了产品的易用性和用户体验。</w:t>
            </w:r>
            <w:r>
              <w:rPr>
                <w:rFonts w:hint="eastAsia" w:eastAsia="宋体" w:cs="Times New Roman"/>
                <w:sz w:val="24"/>
                <w:szCs w:val="24"/>
                <w:lang w:val="en-US" w:eastAsia="zh-CN"/>
              </w:rPr>
              <w:t>并且</w:t>
            </w:r>
            <w:r>
              <w:rPr>
                <w:rFonts w:hint="default" w:ascii="Times New Roman" w:hAnsi="Times New Roman" w:eastAsia="宋体" w:cs="Times New Roman"/>
                <w:sz w:val="24"/>
                <w:szCs w:val="24"/>
              </w:rPr>
              <w:t>APP具有界面直观、功能丰富等特点，机器人能够对宠物的状态及环境障碍物进行检测，更贴近现代家庭养宠陪伴的需求。</w:t>
            </w:r>
          </w:p>
          <w:p w14:paraId="355307FB">
            <w:pPr>
              <w:pStyle w:val="21"/>
              <w:bidi w:val="0"/>
              <w:rPr>
                <w:rFonts w:hint="eastAsia"/>
                <w:lang w:val="en-US" w:eastAsia="zh-CN"/>
              </w:rPr>
            </w:pPr>
            <w:r>
              <w:rPr>
                <w:rFonts w:hint="eastAsia"/>
                <w:lang w:val="en-US" w:eastAsia="zh-CN"/>
              </w:rPr>
              <w:t>三、项目研究与实施的基础条件</w:t>
            </w:r>
          </w:p>
          <w:p w14:paraId="49DFA8ED">
            <w:pPr>
              <w:pStyle w:val="22"/>
              <w:bidi w:val="0"/>
              <w:rPr>
                <w:rFonts w:hint="eastAsia"/>
                <w:lang w:val="en-US" w:eastAsia="zh-CN"/>
              </w:rPr>
            </w:pPr>
            <w:r>
              <w:rPr>
                <w:rFonts w:hint="eastAsia"/>
                <w:lang w:val="en-US" w:eastAsia="zh-CN"/>
              </w:rPr>
              <w:t>（一）研究平台</w:t>
            </w:r>
          </w:p>
          <w:p w14:paraId="2257A1B5">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本项目依托湖北经济学院信息工程学院开展实施，学院完善的产学研平台与配套硬件设施，为项目研发、测试及成果落地提供了坚实保障，具体条件如下：</w:t>
            </w:r>
          </w:p>
          <w:p w14:paraId="5A3F015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建有标准化软硬件实验室、物联网创新实验室等专项科研场地，其中智能控制实验室配置多台高性能计算机及全套智能硬件、嵌入式研发测试设备，可为本项目全程研发、调试、实验提供专属场地与充足的硬件设备支撑，满足项目常态化研发需求。</w:t>
            </w:r>
          </w:p>
          <w:p w14:paraId="470D8867">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2</w:t>
            </w:r>
            <w:r>
              <w:rPr>
                <w:rFonts w:hint="eastAsia" w:eastAsia="宋体" w:cs="Times New Roman"/>
                <w:sz w:val="24"/>
                <w:szCs w:val="24"/>
                <w:lang w:val="en-US" w:eastAsia="zh-CN"/>
              </w:rPr>
              <w:t>、</w:t>
            </w:r>
            <w:r>
              <w:rPr>
                <w:rFonts w:hint="default" w:ascii="Times New Roman" w:hAnsi="Times New Roman" w:eastAsia="宋体" w:cs="Times New Roman"/>
                <w:sz w:val="24"/>
                <w:szCs w:val="24"/>
                <w:lang w:val="en-US" w:eastAsia="zh-CN"/>
              </w:rPr>
              <w:t>学院配备齐全的嵌入式专项研发设备，包含多套STM32综合实验平台、树莓派嵌入式开发平台、智能小车等实训研发设备，可全面覆盖项目前期预研、核心功能开发、系统调试等全流程工作，为项目顺利推进提供完善的硬件平台保障。</w:t>
            </w:r>
          </w:p>
          <w:p w14:paraId="0B7B6430">
            <w:pPr>
              <w:pStyle w:val="22"/>
              <w:bidi w:val="0"/>
              <w:rPr>
                <w:rFonts w:hint="default"/>
              </w:rPr>
            </w:pPr>
            <w:r>
              <w:rPr>
                <w:rFonts w:hint="default"/>
              </w:rPr>
              <w:t>（二）师资力量</w:t>
            </w:r>
          </w:p>
          <w:p w14:paraId="11898D2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项目指导教师为信息工程学院骨干教师，主要研究方向聚焦嵌入式软件开发、智能控制、物联网技术应用、多传感器数据融合等领域，具备扎实的理论功底和丰富的科研项目指导经验。同时，指导教师长期承担计算机硬件、嵌入式开发等核心课程教学工作，软硬件系统设计与研发实战能力突出，能够精准指导团队解决项目研发中的各类技术难题。</w:t>
            </w:r>
          </w:p>
          <w:p w14:paraId="5CE41F2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此外，项目依托的信息工程学院师资团队实力雄厚，现有教授5人、副教授28人、博士20人，形成了一支结构合理、专业度高、科研能力强的教学科研队伍，全方位为本项目的技术攻关、研发推进、成果完善提供强有力的师资保障与学术支撑。</w:t>
            </w:r>
          </w:p>
          <w:p w14:paraId="1A46B089">
            <w:pPr>
              <w:pStyle w:val="22"/>
              <w:bidi w:val="0"/>
              <w:rPr>
                <w:rFonts w:hint="default"/>
              </w:rPr>
            </w:pPr>
            <w:r>
              <w:rPr>
                <w:rFonts w:hint="default"/>
              </w:rPr>
              <w:t>（三）</w:t>
            </w:r>
            <w:commentRangeStart w:id="4"/>
            <w:r>
              <w:rPr>
                <w:rFonts w:hint="default"/>
              </w:rPr>
              <w:t>团队研发能力</w:t>
            </w:r>
            <w:commentRangeEnd w:id="4"/>
            <w:r>
              <w:commentReference w:id="4"/>
            </w:r>
          </w:p>
          <w:p w14:paraId="7E374291">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1、对超声波、红外等各类传感器的相关功能比较了解，努力学习熟练使用。</w:t>
            </w:r>
          </w:p>
          <w:p w14:paraId="4683FD0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2、擅长对STM32等嵌入式硬件系统进行设计和对底层软件代码进行调试。</w:t>
            </w:r>
          </w:p>
          <w:p w14:paraId="22064CFB">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3、组员都熟练掌握C/C++语言，并且学习过《传感器原理》</w:t>
            </w:r>
            <w:r>
              <w:rPr>
                <w:rFonts w:hint="eastAsia" w:eastAsia="宋体" w:cs="Times New Roman"/>
                <w:sz w:val="24"/>
                <w:szCs w:val="24"/>
                <w:lang w:eastAsia="zh-CN"/>
              </w:rPr>
              <w:t>《</w:t>
            </w:r>
            <w:r>
              <w:rPr>
                <w:rFonts w:hint="eastAsia" w:eastAsia="宋体" w:cs="Times New Roman"/>
                <w:sz w:val="24"/>
                <w:szCs w:val="24"/>
                <w:lang w:val="en-US" w:eastAsia="zh-CN"/>
              </w:rPr>
              <w:t>嵌入式系统开发》</w:t>
            </w:r>
            <w:r>
              <w:rPr>
                <w:rFonts w:hint="default" w:ascii="Times New Roman" w:hAnsi="Times New Roman" w:eastAsia="宋体" w:cs="Times New Roman"/>
                <w:sz w:val="24"/>
                <w:szCs w:val="24"/>
              </w:rPr>
              <w:t>等</w:t>
            </w:r>
            <w:r>
              <w:rPr>
                <w:rFonts w:hint="eastAsia" w:eastAsia="宋体" w:cs="Times New Roman"/>
                <w:sz w:val="24"/>
                <w:szCs w:val="24"/>
                <w:lang w:val="en-US" w:eastAsia="zh-CN"/>
              </w:rPr>
              <w:t>专业</w:t>
            </w:r>
            <w:r>
              <w:rPr>
                <w:rFonts w:hint="default" w:ascii="Times New Roman" w:hAnsi="Times New Roman" w:eastAsia="宋体" w:cs="Times New Roman"/>
                <w:sz w:val="24"/>
                <w:szCs w:val="24"/>
              </w:rPr>
              <w:t>核心课程。</w:t>
            </w:r>
          </w:p>
          <w:p w14:paraId="0485A9D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4、在之前的学习过程中经常自主设计各类系统，如</w:t>
            </w:r>
            <w:r>
              <w:rPr>
                <w:rFonts w:hint="eastAsia" w:eastAsia="宋体" w:cs="Times New Roman"/>
                <w:sz w:val="24"/>
                <w:szCs w:val="24"/>
                <w:lang w:eastAsia="zh-CN"/>
              </w:rPr>
              <w:t>：</w:t>
            </w:r>
            <w:r>
              <w:rPr>
                <w:rFonts w:hint="eastAsia" w:eastAsia="宋体" w:cs="Times New Roman"/>
                <w:sz w:val="24"/>
                <w:szCs w:val="24"/>
                <w:lang w:val="en-US" w:eastAsia="zh-CN"/>
              </w:rPr>
              <w:t>四位抢答器、</w:t>
            </w:r>
            <w:r>
              <w:rPr>
                <w:rFonts w:hint="default" w:ascii="Times New Roman" w:hAnsi="Times New Roman" w:eastAsia="宋体" w:cs="Times New Roman"/>
                <w:sz w:val="24"/>
                <w:szCs w:val="24"/>
              </w:rPr>
              <w:t>智能避障小车、基于单片机的多传感器控制系统设计，并且获得老师的高度认可。</w:t>
            </w:r>
          </w:p>
          <w:p w14:paraId="3CAB48A2">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团队成员具有极强的科研钻研精神与竞赛实战能力。曾参加“蓝桥杯”全国软件和信息技术专业人才大赛（单片机/程序设计方向）并斩获省级奖项</w:t>
            </w:r>
            <w:r>
              <w:rPr>
                <w:rFonts w:hint="eastAsia" w:ascii="宋体" w:hAnsi="宋体" w:eastAsia="宋体" w:cs="宋体"/>
                <w:sz w:val="24"/>
                <w:szCs w:val="24"/>
                <w:lang w:eastAsia="zh-CN"/>
              </w:rPr>
              <w:t>。</w:t>
            </w:r>
            <w:r>
              <w:rPr>
                <w:rFonts w:ascii="宋体" w:hAnsi="宋体" w:eastAsia="宋体" w:cs="宋体"/>
                <w:sz w:val="24"/>
                <w:szCs w:val="24"/>
              </w:rPr>
              <w:t>此外，团队骨干曾</w:t>
            </w:r>
            <w:r>
              <w:rPr>
                <w:rFonts w:hint="eastAsia" w:ascii="宋体" w:hAnsi="宋体" w:eastAsia="宋体" w:cs="宋体"/>
                <w:sz w:val="24"/>
                <w:szCs w:val="24"/>
                <w:lang w:val="en-US" w:eastAsia="zh-CN"/>
              </w:rPr>
              <w:t>各自</w:t>
            </w:r>
            <w:r>
              <w:rPr>
                <w:rFonts w:ascii="宋体" w:hAnsi="宋体" w:eastAsia="宋体" w:cs="宋体"/>
                <w:sz w:val="24"/>
                <w:szCs w:val="24"/>
              </w:rPr>
              <w:t>主持过一项大学生科研项目并以“校级一般”评级成功结项。</w:t>
            </w:r>
          </w:p>
          <w:p w14:paraId="1E78C027">
            <w:pPr>
              <w:pStyle w:val="21"/>
              <w:bidi w:val="0"/>
              <w:rPr>
                <w:rFonts w:hint="default"/>
              </w:rPr>
            </w:pPr>
            <w:r>
              <w:rPr>
                <w:rFonts w:hint="default"/>
              </w:rPr>
              <w:t>四、项目实施方案</w:t>
            </w:r>
          </w:p>
          <w:p w14:paraId="5AEC3491">
            <w:pPr>
              <w:pStyle w:val="22"/>
              <w:bidi w:val="0"/>
              <w:rPr>
                <w:rFonts w:hint="default"/>
              </w:rPr>
            </w:pPr>
            <w:r>
              <w:rPr>
                <w:rFonts w:hint="default"/>
              </w:rPr>
              <w:t>（一）</w:t>
            </w:r>
            <w:r>
              <w:rPr>
                <w:rFonts w:ascii="宋体" w:hAnsi="宋体" w:eastAsia="宋体" w:cs="宋体"/>
                <w:sz w:val="24"/>
                <w:szCs w:val="24"/>
              </w:rPr>
              <w:t>前期准备与架构定型阶段</w:t>
            </w:r>
            <w:r>
              <w:rPr>
                <w:rFonts w:hint="default"/>
              </w:rPr>
              <w:t>（2026年4月-2026年5月）</w:t>
            </w:r>
          </w:p>
          <w:p w14:paraId="13CD66C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讨论城市养宠家庭的核心痛点，针对问题对机器人的伴随、避障及喂食等核心功能进行商议；细化引脚分配与通信协议，购买相关电子元器件及机械外壳耗材，完成各模块数据手册的预研。</w:t>
            </w:r>
          </w:p>
          <w:p w14:paraId="01B6A0F1">
            <w:pPr>
              <w:pStyle w:val="22"/>
              <w:bidi w:val="0"/>
              <w:rPr>
                <w:rFonts w:hint="default"/>
              </w:rPr>
            </w:pPr>
            <w:r>
              <w:rPr>
                <w:rFonts w:hint="default"/>
              </w:rPr>
              <w:t>（二）</w:t>
            </w:r>
            <w:r>
              <w:rPr>
                <w:rFonts w:ascii="宋体" w:hAnsi="宋体" w:eastAsia="宋体" w:cs="宋体"/>
                <w:sz w:val="24"/>
                <w:szCs w:val="24"/>
              </w:rPr>
              <w:t>初期硬件制作与底层开发阶段</w:t>
            </w:r>
            <w:r>
              <w:rPr>
                <w:rFonts w:hint="default"/>
              </w:rPr>
              <w:t>（2026年6月-2026年8月）</w:t>
            </w:r>
          </w:p>
          <w:p w14:paraId="0E3024E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开展项目硬件系统搭建工作，完成多传感器阵列、电机驱动板、电源降压模块等核心硬件的电路焊接、设备组装与物理线路连接。基于STM32主控芯片，编写各外设模块底层C语言驱动代码，完成设备初始化、数据采集、指令响应等基础功能开发。打通主控模块与视觉协处理器、无线通信模组的数据传输链路，完成硬件整机通电测试、基础功能调试，保障各硬件模块独立稳定运行。</w:t>
            </w:r>
          </w:p>
          <w:p w14:paraId="5C096845">
            <w:pPr>
              <w:pStyle w:val="22"/>
              <w:bidi w:val="0"/>
              <w:rPr>
                <w:rFonts w:hint="default"/>
              </w:rPr>
            </w:pPr>
            <w:r>
              <w:rPr>
                <w:rFonts w:hint="default"/>
              </w:rPr>
              <w:t>（三）</w:t>
            </w:r>
            <w:r>
              <w:rPr>
                <w:rFonts w:ascii="宋体" w:hAnsi="宋体" w:eastAsia="宋体" w:cs="宋体"/>
                <w:sz w:val="24"/>
                <w:szCs w:val="24"/>
              </w:rPr>
              <w:t>中期算法植入与系统联调阶段</w:t>
            </w:r>
            <w:r>
              <w:rPr>
                <w:rFonts w:hint="default"/>
              </w:rPr>
              <w:t>（2026年9月-2026年12月）</w:t>
            </w:r>
          </w:p>
          <w:p w14:paraId="2927780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对系统进行全面的联调完善和优化。重点植入自适应跟随与动态避障算法，深度整定底盘差分驱动的PID闭环控制参数；同步联调手机APP端，实现跨网段的视频流传输与指令下发。在实验室预设场地内完成整机测试，并根据宠物的实际反应优化非连续伴随策略。</w:t>
            </w:r>
          </w:p>
          <w:p w14:paraId="4DD47192">
            <w:pPr>
              <w:pStyle w:val="22"/>
              <w:bidi w:val="0"/>
              <w:rPr>
                <w:rFonts w:hint="default"/>
              </w:rPr>
            </w:pPr>
            <w:r>
              <w:rPr>
                <w:rFonts w:hint="default"/>
              </w:rPr>
              <w:t>（四）</w:t>
            </w:r>
            <w:r>
              <w:rPr>
                <w:rFonts w:ascii="宋体" w:hAnsi="宋体" w:eastAsia="宋体" w:cs="宋体"/>
                <w:sz w:val="24"/>
                <w:szCs w:val="24"/>
              </w:rPr>
              <w:t>项目结题与成果转化阶段</w:t>
            </w:r>
            <w:r>
              <w:rPr>
                <w:rFonts w:hint="default"/>
              </w:rPr>
              <w:t>（2027年1月-2027年</w:t>
            </w:r>
            <w:r>
              <w:rPr>
                <w:rFonts w:hint="eastAsia"/>
                <w:lang w:val="en-US" w:eastAsia="zh-CN"/>
              </w:rPr>
              <w:t>4</w:t>
            </w:r>
            <w:r>
              <w:rPr>
                <w:rFonts w:hint="default"/>
              </w:rPr>
              <w:t>月）</w:t>
            </w:r>
          </w:p>
          <w:p w14:paraId="4C31AAB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ascii="宋体" w:hAnsi="宋体" w:eastAsia="宋体" w:cs="宋体"/>
                <w:sz w:val="24"/>
                <w:szCs w:val="24"/>
              </w:rPr>
              <w:t>将测试样机投入真实的养宠家庭进行实景试跑，收集反馈并修复潜在的系统Bug。整理全套技术文档、源代码，进行项目总结，撰写学术论文与结题研究报告，并做好参加后续赛事的现场演示准备。</w:t>
            </w:r>
          </w:p>
          <w:p w14:paraId="6B249D98">
            <w:pPr>
              <w:pStyle w:val="21"/>
              <w:bidi w:val="0"/>
              <w:rPr>
                <w:rFonts w:hint="default"/>
              </w:rPr>
            </w:pPr>
            <w:r>
              <w:rPr>
                <w:rFonts w:hint="default"/>
              </w:rPr>
              <w:t>五、学校可以提供的条件</w:t>
            </w:r>
          </w:p>
          <w:p w14:paraId="5C5DCA61">
            <w:pPr>
              <w:pStyle w:val="22"/>
              <w:bidi w:val="0"/>
              <w:rPr>
                <w:rFonts w:hint="default"/>
              </w:rPr>
            </w:pPr>
            <w:r>
              <w:rPr>
                <w:rFonts w:hint="default"/>
              </w:rPr>
              <w:t>（一）软实力</w:t>
            </w:r>
          </w:p>
          <w:p w14:paraId="3C6687E6">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1、学校图书馆与电子数据中心，为我们提供了大量可供查阅的软硬件技术文献，包括对学校购买的各类核心期刊的运用，让我们能及时掌握低算力平台多源数据融合等相关领域的研究进展。</w:t>
            </w:r>
          </w:p>
          <w:p w14:paraId="19FF9C48">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校内指导教师团队由信息工程学院骨干教授与资深专家组成，从事高等教学、物联网与嵌入式研究工作多年，具有扎实的理论研究水平和丰富的底层实战经验。对我们团队成员如何开展软硬件协同开发进行了详细的讲解和指导，从而使我们的控制方案更加完善，促使团队成员在整个项目中能更顺畅地推进。</w:t>
            </w:r>
          </w:p>
          <w:p w14:paraId="247118FA">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3、学校的双创孵化机制为项目的前期筹备与中期打样提供部分资金与报销通道，保证了项目在硬件采买与试错等各方面工作的顺利开展。</w:t>
            </w:r>
          </w:p>
          <w:p w14:paraId="0595DBCB">
            <w:pPr>
              <w:pStyle w:val="22"/>
              <w:bidi w:val="0"/>
              <w:rPr>
                <w:rFonts w:hint="default"/>
              </w:rPr>
            </w:pPr>
            <w:r>
              <w:rPr>
                <w:rFonts w:hint="default"/>
              </w:rPr>
              <w:t>（二）硬件实力</w:t>
            </w:r>
          </w:p>
          <w:p w14:paraId="5B8A60F0">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1、科研教学设施：开放高标准的物联网实验室、微机控制实验室、计算机机房及大学生创新实践活动中心。</w:t>
            </w:r>
          </w:p>
          <w:p w14:paraId="4B42C573">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2、仪器设备：提供充足的STM32嵌入式综合实验平台、高精度数字示波器、逻辑分析仪、多功能万用表及精密焊接工作台等专用实验设备，彻底解决底层硬件开发的后顾之忧。</w:t>
            </w:r>
          </w:p>
          <w:p w14:paraId="241DD916">
            <w:pPr>
              <w:pStyle w:val="21"/>
              <w:bidi w:val="0"/>
              <w:rPr>
                <w:rFonts w:hint="default"/>
              </w:rPr>
            </w:pPr>
            <w:r>
              <w:rPr>
                <w:rFonts w:hint="default"/>
              </w:rPr>
              <w:t>六、</w:t>
            </w:r>
            <w:commentRangeStart w:id="5"/>
            <w:r>
              <w:rPr>
                <w:rFonts w:hint="default"/>
              </w:rPr>
              <w:t>预期成果</w:t>
            </w:r>
            <w:commentRangeEnd w:id="5"/>
            <w:r>
              <w:commentReference w:id="5"/>
            </w:r>
          </w:p>
          <w:p w14:paraId="036817E9">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1</w:t>
            </w:r>
            <w:r>
              <w:rPr>
                <w:rFonts w:ascii="宋体" w:hAnsi="宋体" w:eastAsia="宋体" w:cs="宋体"/>
                <w:sz w:val="24"/>
                <w:szCs w:val="24"/>
              </w:rPr>
              <w:t>、以本项目研发的实物样机与技术方案为依托，参加“中国高校智能机器人创意大赛”、“中国大学生计算机设计大赛”等国家级/省级A类学科竞赛并争取斩获奖项。</w:t>
            </w:r>
          </w:p>
          <w:p w14:paraId="3B09F61E">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、公开发表一篇相关学术论文。</w:t>
            </w:r>
          </w:p>
          <w:p w14:paraId="169A35D4">
            <w:pPr>
              <w:keepNext w:val="0"/>
              <w:keepLines w:val="0"/>
              <w:pageBreakBefore w:val="0"/>
              <w:widowControl w:val="0"/>
              <w:kinsoku/>
              <w:wordWrap/>
              <w:overflowPunct/>
              <w:topLinePunct w:val="0"/>
              <w:autoSpaceDE/>
              <w:autoSpaceDN/>
              <w:bidi w:val="0"/>
              <w:adjustRightInd/>
              <w:snapToGrid/>
              <w:spacing w:line="420" w:lineRule="exact"/>
              <w:ind w:firstLine="472" w:firstLineChars="200"/>
              <w:textAlignment w:val="auto"/>
              <w:rPr>
                <w:rFonts w:hint="default" w:ascii="Times New Roman" w:hAnsi="Times New Roman" w:eastAsia="宋体" w:cs="Times New Roman"/>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、整理输出完整的系统源代码，高质量完成大创项目结题报告。</w:t>
            </w:r>
          </w:p>
        </w:tc>
      </w:tr>
      <w:tr w14:paraId="6A03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1" w:hRule="atLeast"/>
        </w:trPr>
        <w:tc>
          <w:tcPr>
            <w:tcW w:w="9168" w:type="dxa"/>
            <w:gridSpan w:val="11"/>
          </w:tcPr>
          <w:p w14:paraId="199EE56C">
            <w:pPr>
              <w:spacing w:before="304" w:beforeLines="50"/>
              <w:rPr>
                <w:b/>
                <w:sz w:val="24"/>
              </w:rPr>
            </w:pPr>
            <w:r>
              <w:rPr>
                <w:rFonts w:hint="eastAsia"/>
                <w:b/>
                <w:sz w:val="24"/>
              </w:rPr>
              <w:t>七、经费预算</w:t>
            </w:r>
          </w:p>
          <w:tbl>
            <w:tblPr>
              <w:tblStyle w:val="16"/>
              <w:tblW w:w="79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84"/>
              <w:gridCol w:w="3838"/>
              <w:gridCol w:w="948"/>
              <w:gridCol w:w="1599"/>
            </w:tblGrid>
            <w:tr w14:paraId="059C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tblHeader/>
                <w:jc w:val="center"/>
              </w:trPr>
              <w:tc>
                <w:tcPr>
                  <w:tcW w:w="1584" w:type="dxa"/>
                  <w:shd w:val="clear" w:color="auto" w:fill="F2F3F5"/>
                  <w:tcMar>
                    <w:top w:w="120" w:type="dxa"/>
                    <w:left w:w="120" w:type="dxa"/>
                    <w:bottom w:w="120" w:type="dxa"/>
                    <w:right w:w="120" w:type="dxa"/>
                  </w:tcMar>
                </w:tcPr>
                <w:p w14:paraId="7FD4263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预算项目</w:t>
                  </w:r>
                </w:p>
              </w:tc>
              <w:tc>
                <w:tcPr>
                  <w:tcW w:w="3838" w:type="dxa"/>
                  <w:shd w:val="clear" w:color="auto" w:fill="F2F3F5"/>
                  <w:tcMar>
                    <w:top w:w="120" w:type="dxa"/>
                    <w:left w:w="120" w:type="dxa"/>
                    <w:bottom w:w="120" w:type="dxa"/>
                    <w:right w:w="120" w:type="dxa"/>
                  </w:tcMar>
                </w:tcPr>
                <w:p w14:paraId="08CAFED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明细内容</w:t>
                  </w:r>
                </w:p>
              </w:tc>
              <w:tc>
                <w:tcPr>
                  <w:tcW w:w="948" w:type="dxa"/>
                  <w:shd w:val="clear" w:color="auto" w:fill="F2F3F5"/>
                  <w:tcMar>
                    <w:top w:w="120" w:type="dxa"/>
                    <w:left w:w="120" w:type="dxa"/>
                    <w:bottom w:w="120" w:type="dxa"/>
                    <w:right w:w="120" w:type="dxa"/>
                  </w:tcMar>
                </w:tcPr>
                <w:p w14:paraId="6E9F8FD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金额（元）</w:t>
                  </w:r>
                </w:p>
              </w:tc>
              <w:tc>
                <w:tcPr>
                  <w:tcW w:w="1599" w:type="dxa"/>
                  <w:shd w:val="clear" w:color="auto" w:fill="F2F3F5"/>
                  <w:tcMar>
                    <w:top w:w="120" w:type="dxa"/>
                    <w:left w:w="120" w:type="dxa"/>
                    <w:bottom w:w="120" w:type="dxa"/>
                    <w:right w:w="120" w:type="dxa"/>
                  </w:tcMar>
                </w:tcPr>
                <w:p w14:paraId="7A5E101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备注</w:t>
                  </w:r>
                </w:p>
              </w:tc>
            </w:tr>
            <w:tr w14:paraId="7301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584" w:type="dxa"/>
                  <w:tcMar>
                    <w:top w:w="120" w:type="dxa"/>
                    <w:left w:w="120" w:type="dxa"/>
                    <w:bottom w:w="120" w:type="dxa"/>
                    <w:right w:w="120" w:type="dxa"/>
                  </w:tcMar>
                </w:tcPr>
                <w:p w14:paraId="6CD6BAA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资料费</w:t>
                  </w:r>
                </w:p>
              </w:tc>
              <w:tc>
                <w:tcPr>
                  <w:tcW w:w="3838" w:type="dxa"/>
                  <w:tcMar>
                    <w:top w:w="120" w:type="dxa"/>
                    <w:left w:w="120" w:type="dxa"/>
                    <w:bottom w:w="120" w:type="dxa"/>
                    <w:right w:w="120" w:type="dxa"/>
                  </w:tcMar>
                </w:tcPr>
                <w:p w14:paraId="04C3F26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文献资料下载、论文查重、开源数据集购买、云服务器模型训练、打印装订</w:t>
                  </w:r>
                </w:p>
              </w:tc>
              <w:tc>
                <w:tcPr>
                  <w:tcW w:w="948" w:type="dxa"/>
                  <w:tcMar>
                    <w:top w:w="120" w:type="dxa"/>
                    <w:left w:w="120" w:type="dxa"/>
                    <w:bottom w:w="120" w:type="dxa"/>
                    <w:right w:w="120" w:type="dxa"/>
                  </w:tcMar>
                </w:tcPr>
                <w:p w14:paraId="6C377A49">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800</w:t>
                  </w:r>
                </w:p>
              </w:tc>
              <w:tc>
                <w:tcPr>
                  <w:tcW w:w="1599" w:type="dxa"/>
                  <w:tcMar>
                    <w:top w:w="120" w:type="dxa"/>
                    <w:left w:w="120" w:type="dxa"/>
                    <w:bottom w:w="120" w:type="dxa"/>
                    <w:right w:w="120" w:type="dxa"/>
                  </w:tcMar>
                </w:tcPr>
                <w:p w14:paraId="275B420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上调经费，满足科研产出需求</w:t>
                  </w:r>
                </w:p>
              </w:tc>
            </w:tr>
            <w:tr w14:paraId="03BA4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584" w:type="dxa"/>
                  <w:tcMar>
                    <w:top w:w="120" w:type="dxa"/>
                    <w:left w:w="120" w:type="dxa"/>
                    <w:bottom w:w="120" w:type="dxa"/>
                    <w:right w:w="120" w:type="dxa"/>
                  </w:tcMar>
                </w:tcPr>
                <w:p w14:paraId="21518BDB">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硬件设备费</w:t>
                  </w:r>
                </w:p>
              </w:tc>
              <w:tc>
                <w:tcPr>
                  <w:tcW w:w="3838" w:type="dxa"/>
                  <w:tcMar>
                    <w:top w:w="120" w:type="dxa"/>
                    <w:left w:w="120" w:type="dxa"/>
                    <w:bottom w:w="120" w:type="dxa"/>
                    <w:right w:w="120" w:type="dxa"/>
                  </w:tcMar>
                </w:tcPr>
                <w:p w14:paraId="506F135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M32F4开发板：200元；OpenMV视觉摄像头：500元；红外传感器×4：80元；超声波模块×3：60元；电机+驱动+行走轮子：300元；电池+电源管理模块：200元；设备外壳+结构件：200元；调试工具+备用元器件+硬件损耗预留：200元</w:t>
                  </w:r>
                </w:p>
              </w:tc>
              <w:tc>
                <w:tcPr>
                  <w:tcW w:w="948" w:type="dxa"/>
                  <w:tcMar>
                    <w:top w:w="120" w:type="dxa"/>
                    <w:left w:w="120" w:type="dxa"/>
                    <w:bottom w:w="120" w:type="dxa"/>
                    <w:right w:w="120" w:type="dxa"/>
                  </w:tcMar>
                </w:tcPr>
                <w:p w14:paraId="5045048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1740</w:t>
                  </w:r>
                </w:p>
              </w:tc>
              <w:tc>
                <w:tcPr>
                  <w:tcW w:w="1599" w:type="dxa"/>
                  <w:tcMar>
                    <w:top w:w="120" w:type="dxa"/>
                    <w:left w:w="120" w:type="dxa"/>
                    <w:bottom w:w="120" w:type="dxa"/>
                    <w:right w:w="120" w:type="dxa"/>
                  </w:tcMar>
                </w:tcPr>
                <w:p w14:paraId="02CCBEA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细化明细，预留15%损耗调试预算</w:t>
                  </w:r>
                </w:p>
              </w:tc>
            </w:tr>
            <w:tr w14:paraId="494F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584" w:type="dxa"/>
                  <w:tcMar>
                    <w:top w:w="120" w:type="dxa"/>
                    <w:left w:w="120" w:type="dxa"/>
                    <w:bottom w:w="120" w:type="dxa"/>
                    <w:right w:w="120" w:type="dxa"/>
                  </w:tcMar>
                </w:tcPr>
                <w:p w14:paraId="1B61D85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其他备用费</w:t>
                  </w:r>
                </w:p>
              </w:tc>
              <w:tc>
                <w:tcPr>
                  <w:tcW w:w="3838" w:type="dxa"/>
                  <w:tcMar>
                    <w:top w:w="120" w:type="dxa"/>
                    <w:left w:w="120" w:type="dxa"/>
                    <w:bottom w:w="120" w:type="dxa"/>
                    <w:right w:w="120" w:type="dxa"/>
                  </w:tcMar>
                </w:tcPr>
                <w:p w14:paraId="13B4B53F">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社会实践活动物料、突发耗材补充、项目应急支出</w:t>
                  </w:r>
                </w:p>
              </w:tc>
              <w:tc>
                <w:tcPr>
                  <w:tcW w:w="948" w:type="dxa"/>
                  <w:tcMar>
                    <w:top w:w="120" w:type="dxa"/>
                    <w:left w:w="120" w:type="dxa"/>
                    <w:bottom w:w="120" w:type="dxa"/>
                    <w:right w:w="120" w:type="dxa"/>
                  </w:tcMar>
                </w:tcPr>
                <w:p w14:paraId="1699F8F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1110</w:t>
                  </w:r>
                </w:p>
              </w:tc>
              <w:tc>
                <w:tcPr>
                  <w:tcW w:w="1599" w:type="dxa"/>
                  <w:tcMar>
                    <w:top w:w="120" w:type="dxa"/>
                    <w:left w:w="120" w:type="dxa"/>
                    <w:bottom w:w="120" w:type="dxa"/>
                    <w:right w:w="120" w:type="dxa"/>
                  </w:tcMar>
                </w:tcPr>
                <w:p w14:paraId="2BF0A0A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保障项目全程顺利推进</w:t>
                  </w:r>
                </w:p>
              </w:tc>
            </w:tr>
            <w:tr w14:paraId="70B4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584" w:type="dxa"/>
                  <w:tcMar>
                    <w:top w:w="120" w:type="dxa"/>
                    <w:left w:w="120" w:type="dxa"/>
                    <w:bottom w:w="120" w:type="dxa"/>
                    <w:right w:w="120" w:type="dxa"/>
                  </w:tcMar>
                </w:tcPr>
                <w:p w14:paraId="087A4B7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总计</w:t>
                  </w:r>
                </w:p>
              </w:tc>
              <w:tc>
                <w:tcPr>
                  <w:tcW w:w="3838" w:type="dxa"/>
                  <w:tcMar>
                    <w:top w:w="120" w:type="dxa"/>
                    <w:left w:w="120" w:type="dxa"/>
                    <w:bottom w:w="120" w:type="dxa"/>
                    <w:right w:w="120" w:type="dxa"/>
                  </w:tcMar>
                </w:tcPr>
                <w:p w14:paraId="56ACF99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p>
              </w:tc>
              <w:tc>
                <w:tcPr>
                  <w:tcW w:w="948" w:type="dxa"/>
                  <w:tcMar>
                    <w:top w:w="120" w:type="dxa"/>
                    <w:left w:w="120" w:type="dxa"/>
                    <w:bottom w:w="120" w:type="dxa"/>
                    <w:right w:w="120" w:type="dxa"/>
                  </w:tcMar>
                </w:tcPr>
                <w:p w14:paraId="44EF8034">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4400</w:t>
                  </w:r>
                </w:p>
              </w:tc>
              <w:tc>
                <w:tcPr>
                  <w:tcW w:w="1599" w:type="dxa"/>
                  <w:tcMar>
                    <w:top w:w="120" w:type="dxa"/>
                    <w:left w:w="120" w:type="dxa"/>
                    <w:bottom w:w="120" w:type="dxa"/>
                    <w:right w:w="120" w:type="dxa"/>
                  </w:tcMar>
                </w:tcPr>
                <w:p w14:paraId="331611C6">
                  <w:pPr>
                    <w:rPr>
                      <w:rFonts w:hint="default" w:ascii="Times New Roman" w:hAnsi="Times New Roman" w:eastAsia="宋体" w:cs="Times New Roman"/>
                      <w:sz w:val="24"/>
                      <w:szCs w:val="24"/>
                    </w:rPr>
                  </w:pPr>
                </w:p>
              </w:tc>
            </w:tr>
          </w:tbl>
          <w:p w14:paraId="5E43CC5C">
            <w:pPr>
              <w:spacing w:before="304" w:beforeLines="50"/>
              <w:rPr>
                <w:b/>
                <w:sz w:val="24"/>
              </w:rPr>
            </w:pPr>
          </w:p>
        </w:tc>
      </w:tr>
      <w:tr w14:paraId="3EAD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1" w:hRule="atLeast"/>
        </w:trPr>
        <w:tc>
          <w:tcPr>
            <w:tcW w:w="9168" w:type="dxa"/>
            <w:gridSpan w:val="11"/>
          </w:tcPr>
          <w:p w14:paraId="2E1AB003">
            <w:pPr>
              <w:spacing w:before="304" w:beforeLines="50"/>
              <w:rPr>
                <w:b/>
                <w:sz w:val="24"/>
              </w:rPr>
            </w:pPr>
            <w:r>
              <w:rPr>
                <w:rFonts w:hint="eastAsia"/>
                <w:b/>
                <w:sz w:val="24"/>
              </w:rPr>
              <w:t>八、导师推荐意见</w:t>
            </w:r>
          </w:p>
          <w:p w14:paraId="50DF2ACC">
            <w:pPr>
              <w:spacing w:before="304" w:beforeLines="50" w:line="360" w:lineRule="auto"/>
              <w:ind w:firstLine="552" w:firstLineChars="200"/>
              <w:rPr>
                <w:rFonts w:hAnsi="宋体"/>
                <w:sz w:val="28"/>
                <w:szCs w:val="28"/>
              </w:rPr>
            </w:pPr>
          </w:p>
          <w:p w14:paraId="1C79A76F">
            <w:pPr>
              <w:rPr>
                <w:sz w:val="24"/>
              </w:rPr>
            </w:pPr>
            <w:r>
              <w:rPr>
                <w:rFonts w:hint="eastAsia"/>
                <w:sz w:val="24"/>
              </w:rPr>
              <w:t xml:space="preserve">                                                </w:t>
            </w:r>
          </w:p>
          <w:p w14:paraId="02190034">
            <w:pPr>
              <w:rPr>
                <w:sz w:val="24"/>
              </w:rPr>
            </w:pPr>
          </w:p>
          <w:p w14:paraId="14298B2F">
            <w:pPr>
              <w:rPr>
                <w:sz w:val="24"/>
              </w:rPr>
            </w:pPr>
          </w:p>
          <w:p w14:paraId="18CD37B6">
            <w:pPr>
              <w:rPr>
                <w:sz w:val="24"/>
              </w:rPr>
            </w:pPr>
          </w:p>
          <w:p w14:paraId="13DEFCFD">
            <w:pPr>
              <w:ind w:right="480"/>
              <w:jc w:val="center"/>
              <w:rPr>
                <w:sz w:val="24"/>
              </w:rPr>
            </w:pPr>
            <w:r>
              <w:rPr>
                <w:rFonts w:hint="eastAsia"/>
                <w:sz w:val="24"/>
              </w:rPr>
              <w:t xml:space="preserve">                                     签名： </w:t>
            </w:r>
          </w:p>
          <w:p w14:paraId="6C9C2E67">
            <w:pPr>
              <w:spacing w:before="304" w:beforeLines="50"/>
              <w:rPr>
                <w:b/>
                <w:sz w:val="24"/>
              </w:rPr>
            </w:pPr>
            <w:r>
              <w:rPr>
                <w:rFonts w:hint="eastAsia"/>
                <w:sz w:val="24"/>
              </w:rPr>
              <w:t xml:space="preserve">                                                年  月  日</w:t>
            </w:r>
          </w:p>
        </w:tc>
      </w:tr>
      <w:tr w14:paraId="7FA1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7" w:hRule="atLeast"/>
        </w:trPr>
        <w:tc>
          <w:tcPr>
            <w:tcW w:w="9168" w:type="dxa"/>
            <w:gridSpan w:val="11"/>
          </w:tcPr>
          <w:p w14:paraId="1349D95B">
            <w:pPr>
              <w:spacing w:before="304" w:beforeLines="50"/>
              <w:rPr>
                <w:b/>
                <w:sz w:val="24"/>
              </w:rPr>
            </w:pPr>
            <w:r>
              <w:rPr>
                <w:rFonts w:hint="eastAsia"/>
                <w:b/>
                <w:sz w:val="24"/>
              </w:rPr>
              <w:t>九、院系推荐意见</w:t>
            </w:r>
          </w:p>
          <w:p w14:paraId="13243FFE">
            <w:pPr>
              <w:spacing w:before="304" w:beforeLines="50"/>
              <w:rPr>
                <w:b/>
                <w:sz w:val="24"/>
              </w:rPr>
            </w:pPr>
          </w:p>
          <w:p w14:paraId="70B7B522">
            <w:pPr>
              <w:spacing w:before="304" w:beforeLines="50"/>
              <w:rPr>
                <w:b/>
                <w:sz w:val="24"/>
              </w:rPr>
            </w:pPr>
          </w:p>
          <w:p w14:paraId="52ACCC97">
            <w:pPr>
              <w:spacing w:before="304" w:beforeLines="50"/>
              <w:ind w:firstLine="2659" w:firstLineChars="1127"/>
              <w:rPr>
                <w:b/>
                <w:sz w:val="24"/>
              </w:rPr>
            </w:pPr>
          </w:p>
          <w:p w14:paraId="4A31A4C8">
            <w:pPr>
              <w:ind w:firstLine="3068" w:firstLineChars="1300"/>
              <w:rPr>
                <w:b/>
                <w:sz w:val="24"/>
              </w:rPr>
            </w:pPr>
          </w:p>
          <w:p w14:paraId="6D8B6405">
            <w:pPr>
              <w:ind w:firstLine="3658" w:firstLineChars="1550"/>
              <w:rPr>
                <w:sz w:val="24"/>
              </w:rPr>
            </w:pPr>
            <w:r>
              <w:rPr>
                <w:rFonts w:hint="eastAsia"/>
                <w:sz w:val="24"/>
              </w:rPr>
              <w:t>院系负责人签名：          学院盖章</w:t>
            </w:r>
          </w:p>
          <w:p w14:paraId="17890C14">
            <w:pPr>
              <w:spacing w:before="304" w:beforeLines="50"/>
              <w:rPr>
                <w:b/>
                <w:sz w:val="24"/>
              </w:rPr>
            </w:pPr>
            <w:r>
              <w:rPr>
                <w:rFonts w:hint="eastAsia"/>
                <w:sz w:val="24"/>
              </w:rPr>
              <w:t xml:space="preserve">                                                           年   月    日</w:t>
            </w:r>
          </w:p>
        </w:tc>
      </w:tr>
      <w:tr w14:paraId="1E75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3" w:hRule="atLeast"/>
        </w:trPr>
        <w:tc>
          <w:tcPr>
            <w:tcW w:w="9168" w:type="dxa"/>
            <w:gridSpan w:val="11"/>
          </w:tcPr>
          <w:p w14:paraId="63D2FD42">
            <w:pPr>
              <w:spacing w:before="304" w:beforeLines="50"/>
              <w:rPr>
                <w:sz w:val="24"/>
              </w:rPr>
            </w:pPr>
            <w:r>
              <w:rPr>
                <w:rFonts w:hint="eastAsia"/>
                <w:b/>
                <w:sz w:val="24"/>
              </w:rPr>
              <w:t>十、学校推荐意见：</w:t>
            </w:r>
          </w:p>
          <w:p w14:paraId="304ABC19">
            <w:pPr>
              <w:rPr>
                <w:sz w:val="24"/>
              </w:rPr>
            </w:pPr>
          </w:p>
          <w:p w14:paraId="3E1ECCDF">
            <w:pPr>
              <w:rPr>
                <w:sz w:val="24"/>
              </w:rPr>
            </w:pPr>
          </w:p>
          <w:p w14:paraId="3EA64CEC">
            <w:pPr>
              <w:rPr>
                <w:sz w:val="24"/>
              </w:rPr>
            </w:pPr>
          </w:p>
          <w:p w14:paraId="0CE1BF45">
            <w:pPr>
              <w:rPr>
                <w:sz w:val="24"/>
              </w:rPr>
            </w:pPr>
          </w:p>
          <w:p w14:paraId="4B73831F">
            <w:pPr>
              <w:rPr>
                <w:sz w:val="24"/>
              </w:rPr>
            </w:pPr>
          </w:p>
          <w:p w14:paraId="297A19EC">
            <w:pPr>
              <w:snapToGrid w:val="0"/>
              <w:rPr>
                <w:rFonts w:hAnsi="宋体"/>
                <w:sz w:val="24"/>
              </w:rPr>
            </w:pPr>
          </w:p>
          <w:p w14:paraId="4C414E85">
            <w:pPr>
              <w:snapToGrid w:val="0"/>
              <w:jc w:val="center"/>
              <w:rPr>
                <w:rFonts w:hAnsi="宋体"/>
                <w:sz w:val="24"/>
              </w:rPr>
            </w:pPr>
            <w:r>
              <w:rPr>
                <w:rFonts w:hint="eastAsia" w:hAnsi="宋体"/>
                <w:sz w:val="24"/>
              </w:rPr>
              <w:t xml:space="preserve">                            学校负责人签名：        学校盖章 </w:t>
            </w:r>
          </w:p>
          <w:p w14:paraId="006E31B7">
            <w:pPr>
              <w:jc w:val="right"/>
              <w:rPr>
                <w:sz w:val="24"/>
              </w:rPr>
            </w:pPr>
            <w:r>
              <w:rPr>
                <w:rFonts w:hint="eastAsia"/>
                <w:sz w:val="24"/>
              </w:rPr>
              <w:t xml:space="preserve">                年   月    日</w:t>
            </w:r>
          </w:p>
        </w:tc>
      </w:tr>
      <w:tr w14:paraId="7047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9" w:hRule="atLeast"/>
        </w:trPr>
        <w:tc>
          <w:tcPr>
            <w:tcW w:w="9168" w:type="dxa"/>
            <w:gridSpan w:val="11"/>
          </w:tcPr>
          <w:p w14:paraId="2E2FB7BF">
            <w:pPr>
              <w:spacing w:before="304" w:beforeLines="50"/>
              <w:rPr>
                <w:b/>
                <w:sz w:val="24"/>
              </w:rPr>
            </w:pPr>
            <w:r>
              <w:rPr>
                <w:rFonts w:hint="eastAsia"/>
                <w:b/>
                <w:sz w:val="24"/>
              </w:rPr>
              <w:t>十一、主管部门评审意见：</w:t>
            </w:r>
          </w:p>
          <w:p w14:paraId="77A8E2CD">
            <w:pPr>
              <w:spacing w:before="304" w:beforeLines="50"/>
              <w:rPr>
                <w:b/>
                <w:sz w:val="24"/>
              </w:rPr>
            </w:pPr>
          </w:p>
          <w:p w14:paraId="2511D4D0">
            <w:pPr>
              <w:snapToGrid w:val="0"/>
              <w:jc w:val="center"/>
              <w:rPr>
                <w:b/>
                <w:sz w:val="24"/>
              </w:rPr>
            </w:pPr>
            <w:r>
              <w:rPr>
                <w:rFonts w:hint="eastAsia"/>
                <w:b/>
                <w:sz w:val="24"/>
              </w:rPr>
              <w:t xml:space="preserve">                                                   </w:t>
            </w:r>
            <w:r>
              <w:rPr>
                <w:rFonts w:hint="eastAsia" w:hAnsi="宋体"/>
                <w:sz w:val="24"/>
              </w:rPr>
              <w:t xml:space="preserve">   单位盖章</w:t>
            </w:r>
          </w:p>
          <w:p w14:paraId="381DF4DF">
            <w:pPr>
              <w:spacing w:before="304" w:beforeLines="50"/>
              <w:jc w:val="right"/>
              <w:rPr>
                <w:b/>
                <w:sz w:val="24"/>
              </w:rPr>
            </w:pPr>
            <w:r>
              <w:rPr>
                <w:rFonts w:hint="eastAsia"/>
                <w:sz w:val="24"/>
              </w:rPr>
              <w:t xml:space="preserve">  年   月    日</w:t>
            </w:r>
          </w:p>
        </w:tc>
      </w:tr>
    </w:tbl>
    <w:p w14:paraId="435DD04C">
      <w:pPr>
        <w:pStyle w:val="6"/>
      </w:pPr>
    </w:p>
    <w:sectPr>
      <w:footerReference r:id="rId5" w:type="default"/>
      <w:footerReference r:id="rId6" w:type="even"/>
      <w:pgSz w:w="11906" w:h="16838"/>
      <w:pgMar w:top="1928" w:right="1474" w:bottom="1531" w:left="1588" w:header="851" w:footer="1247" w:gutter="0"/>
      <w:cols w:space="425" w:num="1"/>
      <w:titlePg/>
      <w:docGrid w:type="linesAndChars" w:linePitch="608" w:charSpace="-84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宋莺" w:date="2026-05-29T20:41:58Z" w:initials="">
    <w:p w14:paraId="67BD8BDC">
      <w:pPr>
        <w:pStyle w:val="7"/>
        <w:rPr>
          <w:rFonts w:hint="default" w:eastAsia="仿宋_GB2312"/>
          <w:lang w:val="en-US" w:eastAsia="zh-CN"/>
        </w:rPr>
      </w:pPr>
      <w:r>
        <w:rPr>
          <w:rFonts w:hint="eastAsia"/>
          <w:lang w:val="en-US" w:eastAsia="zh-CN"/>
        </w:rPr>
        <w:t>多模态感知模块(这里写三种感知,你还少了红外)</w:t>
      </w:r>
    </w:p>
  </w:comment>
  <w:comment w:id="1" w:author="宋莺" w:date="2026-05-29T20:43:09Z" w:initials="">
    <w:p w14:paraId="633B98B8">
      <w:pPr>
        <w:pStyle w:val="7"/>
        <w:rPr>
          <w:rFonts w:hint="default" w:eastAsia="仿宋_GB2312"/>
          <w:lang w:val="en-US" w:eastAsia="zh-CN"/>
        </w:rPr>
      </w:pPr>
      <w:r>
        <w:rPr>
          <w:rFonts w:hint="eastAsia"/>
          <w:lang w:val="en-US" w:eastAsia="zh-CN"/>
        </w:rPr>
        <w:t>数据融合与关键算法</w:t>
      </w:r>
    </w:p>
  </w:comment>
  <w:comment w:id="2" w:author="宋莺" w:date="2026-05-29T20:45:33Z" w:initials="">
    <w:p w14:paraId="615F62E3">
      <w:pPr>
        <w:pStyle w:val="7"/>
        <w:rPr>
          <w:rFonts w:hint="default" w:eastAsia="仿宋_GB2312"/>
          <w:lang w:val="en-US" w:eastAsia="zh-CN"/>
        </w:rPr>
      </w:pPr>
      <w:r>
        <w:rPr>
          <w:rFonts w:hint="eastAsia"/>
          <w:lang w:val="en-US" w:eastAsia="zh-CN"/>
        </w:rPr>
        <w:t>系统集成交互</w:t>
      </w:r>
    </w:p>
  </w:comment>
  <w:comment w:id="3" w:author="宋莺" w:date="2026-05-29T20:46:20Z" w:initials="">
    <w:p w14:paraId="34E13FD7">
      <w:pPr>
        <w:pStyle w:val="7"/>
        <w:rPr>
          <w:rFonts w:hint="default" w:eastAsia="仿宋_GB2312"/>
          <w:lang w:val="en-US" w:eastAsia="zh-CN"/>
        </w:rPr>
      </w:pPr>
      <w:r>
        <w:rPr>
          <w:rFonts w:hint="eastAsia"/>
          <w:lang w:val="en-US" w:eastAsia="zh-CN"/>
        </w:rPr>
        <w:t>只写3点</w:t>
      </w:r>
    </w:p>
  </w:comment>
  <w:comment w:id="4" w:author="宋莺" w:date="2026-05-29T20:46:51Z" w:initials="">
    <w:p w14:paraId="53BF7F83">
      <w:pPr>
        <w:pStyle w:val="7"/>
        <w:rPr>
          <w:rFonts w:hint="default" w:eastAsia="仿宋_GB2312"/>
          <w:lang w:val="en-US" w:eastAsia="zh-CN"/>
        </w:rPr>
      </w:pPr>
      <w:r>
        <w:rPr>
          <w:rFonts w:hint="eastAsia"/>
          <w:lang w:val="en-US" w:eastAsia="zh-CN"/>
        </w:rPr>
        <w:t>写点你们已做过的项目,获奖情况</w:t>
      </w:r>
    </w:p>
  </w:comment>
  <w:comment w:id="5" w:author="宋莺" w:date="2026-05-29T20:47:27Z" w:initials="">
    <w:p w14:paraId="733478EC">
      <w:pPr>
        <w:pStyle w:val="7"/>
        <w:rPr>
          <w:rFonts w:hint="default" w:eastAsia="仿宋_GB2312"/>
          <w:lang w:val="en-US" w:eastAsia="zh-CN"/>
        </w:rPr>
      </w:pPr>
      <w:r>
        <w:rPr>
          <w:rFonts w:hint="eastAsia"/>
          <w:lang w:val="en-US" w:eastAsia="zh-CN"/>
        </w:rPr>
        <w:t>预期成果不需写这么细,就写准备参加什么比赛,发表论文,申请软著,结题报告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7BD8BDC" w15:done="1"/>
  <w15:commentEx w15:paraId="633B98B8" w15:done="1"/>
  <w15:commentEx w15:paraId="615F62E3" w15:done="1"/>
  <w15:commentEx w15:paraId="34E13FD7" w15:done="1"/>
  <w15:commentEx w15:paraId="53BF7F83" w15:done="1"/>
  <w15:commentEx w15:paraId="733478EC"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D6F656D0-1372-42A0-81CD-DA15A435A4EB}"/>
  </w:font>
  <w:font w:name="Arial">
    <w:panose1 w:val="020B0604020202020204"/>
    <w:charset w:val="01"/>
    <w:family w:val="swiss"/>
    <w:pitch w:val="default"/>
    <w:sig w:usb0="E0002EFF" w:usb1="C000785B" w:usb2="00000009" w:usb3="00000000" w:csb0="400001FF" w:csb1="FFFF0000"/>
    <w:embedRegular r:id="rId2" w:fontKey="{FBD5BF37-73CD-46E2-9551-12CF3283F456}"/>
  </w:font>
  <w:font w:name="黑体">
    <w:panose1 w:val="02010609060101010101"/>
    <w:charset w:val="86"/>
    <w:family w:val="auto"/>
    <w:pitch w:val="default"/>
    <w:sig w:usb0="800002BF" w:usb1="38CF7CFA" w:usb2="00000016" w:usb3="00000000" w:csb0="00040001" w:csb1="00000000"/>
    <w:embedRegular r:id="rId3" w:fontKey="{E4FB9C6F-16FD-4D9D-AC8B-F05CF50E05AC}"/>
  </w:font>
  <w:font w:name="Courier New">
    <w:panose1 w:val="02070309020205020404"/>
    <w:charset w:val="01"/>
    <w:family w:val="modern"/>
    <w:pitch w:val="default"/>
    <w:sig w:usb0="E0002EFF" w:usb1="C0007843" w:usb2="00000009" w:usb3="00000000" w:csb0="400001FF" w:csb1="FFFF0000"/>
    <w:embedRegular r:id="rId4" w:fontKey="{9B798D98-F9DA-49A8-B47A-C348FEB51F33}"/>
  </w:font>
  <w:font w:name="Symbol">
    <w:panose1 w:val="05050102010706020507"/>
    <w:charset w:val="02"/>
    <w:family w:val="roman"/>
    <w:pitch w:val="default"/>
    <w:sig w:usb0="00000000" w:usb1="00000000" w:usb2="00000000" w:usb3="00000000" w:csb0="80000000" w:csb1="00000000"/>
    <w:embedRegular r:id="rId5" w:fontKey="{B9F1321B-B4D8-461E-93F9-62FC7F674E3B}"/>
  </w:font>
  <w:font w:name="Calibri">
    <w:panose1 w:val="020F0502020204030204"/>
    <w:charset w:val="00"/>
    <w:family w:val="swiss"/>
    <w:pitch w:val="default"/>
    <w:sig w:usb0="E4002EFF" w:usb1="C200247B" w:usb2="00000009" w:usb3="00000000" w:csb0="200001FF" w:csb1="00000000"/>
    <w:embedRegular r:id="rId6" w:fontKey="{C9A6314F-1556-4CE8-9913-4AE7A413742C}"/>
  </w:font>
  <w:font w:name="仿宋_GB2312">
    <w:altName w:val="仿宋"/>
    <w:panose1 w:val="00000000000000000000"/>
    <w:charset w:val="00"/>
    <w:family w:val="auto"/>
    <w:pitch w:val="default"/>
    <w:sig w:usb0="00000000" w:usb1="00000000" w:usb2="00000000" w:usb3="00000000" w:csb0="00000000" w:csb1="00000000"/>
    <w:embedRegular r:id="rId7" w:fontKey="{1C745ABB-A72C-4832-A1C4-CCAF557E6144}"/>
  </w:font>
  <w:font w:name="仿宋">
    <w:panose1 w:val="02010609060101010101"/>
    <w:charset w:val="86"/>
    <w:family w:val="modern"/>
    <w:pitch w:val="default"/>
    <w:sig w:usb0="800002BF" w:usb1="38CF7CFA" w:usb2="00000016" w:usb3="00000000" w:csb0="00040001" w:csb1="00000000"/>
    <w:embedRegular r:id="rId8" w:fontKey="{144BB447-4A59-4208-9854-41C4240928AF}"/>
  </w:font>
  <w:font w:name="Cambria">
    <w:panose1 w:val="02040503050406030204"/>
    <w:charset w:val="00"/>
    <w:family w:val="roman"/>
    <w:pitch w:val="default"/>
    <w:sig w:usb0="E00006FF" w:usb1="420024FF" w:usb2="02000000" w:usb3="00000000" w:csb0="2000019F" w:csb1="00000000"/>
    <w:embedRegular r:id="rId9" w:fontKey="{AA1F135F-7413-4930-BC78-BDE33BBC80ED}"/>
  </w:font>
  <w:font w:name="方正小标宋简体">
    <w:panose1 w:val="02000000000000000000"/>
    <w:charset w:val="86"/>
    <w:family w:val="script"/>
    <w:pitch w:val="default"/>
    <w:sig w:usb0="00000001" w:usb1="08000000" w:usb2="00000000" w:usb3="00000000" w:csb0="00040000" w:csb1="00000000"/>
    <w:embedRegular r:id="rId10" w:fontKey="{378AF769-3392-448F-8147-7392C5408110}"/>
  </w:font>
  <w:font w:name="Segoe UI Symbol">
    <w:panose1 w:val="020B0502040204020203"/>
    <w:charset w:val="00"/>
    <w:family w:val="swiss"/>
    <w:pitch w:val="default"/>
    <w:sig w:usb0="800001E3" w:usb1="1200FFEF" w:usb2="00040000" w:usb3="04000000" w:csb0="00000001" w:csb1="40000000"/>
    <w:embedRegular r:id="rId11" w:fontKey="{0575FFCE-BA88-4FE1-A4C8-B3237F281FFC}"/>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CF4A2">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05842">
    <w:pPr>
      <w:framePr w:wrap="around" w:vAnchor="text" w:hAnchor="margin" w:xAlign="right" w:y="1"/>
      <w:rPr>
        <w:rStyle w:val="19"/>
      </w:rPr>
    </w:pPr>
    <w:r>
      <w:rPr>
        <w:rStyle w:val="19"/>
      </w:rPr>
      <w:fldChar w:fldCharType="begin"/>
    </w:r>
    <w:r>
      <w:rPr>
        <w:rStyle w:val="19"/>
      </w:rPr>
      <w:instrText xml:space="preserve">PAGE  </w:instrText>
    </w:r>
    <w:r>
      <w:rPr>
        <w:rStyle w:val="19"/>
      </w:rPr>
      <w:fldChar w:fldCharType="end"/>
    </w:r>
  </w:p>
  <w:p w14:paraId="35A6A2DC">
    <w:pPr>
      <w:ind w:right="360"/>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宋莺">
    <w15:presenceInfo w15:providerId="WPS Office" w15:userId="53858873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315"/>
  <w:drawingGridVerticalSpacing w:val="304"/>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4YWRmNDY3MjVlMzllNmQ1OWM4YzllMmNmZDE4MmQifQ=="/>
  </w:docVars>
  <w:rsids>
    <w:rsidRoot w:val="00B20473"/>
    <w:rsid w:val="00000B00"/>
    <w:rsid w:val="000016DF"/>
    <w:rsid w:val="00050265"/>
    <w:rsid w:val="000533AA"/>
    <w:rsid w:val="00055255"/>
    <w:rsid w:val="000556C3"/>
    <w:rsid w:val="0009234F"/>
    <w:rsid w:val="0009419B"/>
    <w:rsid w:val="000B454F"/>
    <w:rsid w:val="000C78B7"/>
    <w:rsid w:val="000E39A5"/>
    <w:rsid w:val="0013064E"/>
    <w:rsid w:val="001357E4"/>
    <w:rsid w:val="00184A92"/>
    <w:rsid w:val="001850D6"/>
    <w:rsid w:val="001A4923"/>
    <w:rsid w:val="001B5E6F"/>
    <w:rsid w:val="001C2BB0"/>
    <w:rsid w:val="001D6C10"/>
    <w:rsid w:val="00253B12"/>
    <w:rsid w:val="00270F64"/>
    <w:rsid w:val="002764DA"/>
    <w:rsid w:val="0028020E"/>
    <w:rsid w:val="002919E9"/>
    <w:rsid w:val="002A26BC"/>
    <w:rsid w:val="002C1716"/>
    <w:rsid w:val="002C3415"/>
    <w:rsid w:val="002D6ED6"/>
    <w:rsid w:val="002E386C"/>
    <w:rsid w:val="002E3B43"/>
    <w:rsid w:val="002E45B2"/>
    <w:rsid w:val="002E5A1E"/>
    <w:rsid w:val="00327E54"/>
    <w:rsid w:val="00356DB6"/>
    <w:rsid w:val="00360461"/>
    <w:rsid w:val="00371BC5"/>
    <w:rsid w:val="00394404"/>
    <w:rsid w:val="003A053E"/>
    <w:rsid w:val="003B2828"/>
    <w:rsid w:val="003B351E"/>
    <w:rsid w:val="003D75B3"/>
    <w:rsid w:val="003F733D"/>
    <w:rsid w:val="003F7BE1"/>
    <w:rsid w:val="0040003F"/>
    <w:rsid w:val="00405A84"/>
    <w:rsid w:val="00447A01"/>
    <w:rsid w:val="00447D2F"/>
    <w:rsid w:val="00477C5E"/>
    <w:rsid w:val="00491490"/>
    <w:rsid w:val="00496B41"/>
    <w:rsid w:val="00496F37"/>
    <w:rsid w:val="004B0810"/>
    <w:rsid w:val="004C014F"/>
    <w:rsid w:val="004E6380"/>
    <w:rsid w:val="00522A6F"/>
    <w:rsid w:val="005842AC"/>
    <w:rsid w:val="005A47E9"/>
    <w:rsid w:val="005A5C90"/>
    <w:rsid w:val="005C2CEB"/>
    <w:rsid w:val="005E0D20"/>
    <w:rsid w:val="005F0A3D"/>
    <w:rsid w:val="00647529"/>
    <w:rsid w:val="00667988"/>
    <w:rsid w:val="00671180"/>
    <w:rsid w:val="006829A8"/>
    <w:rsid w:val="006A004F"/>
    <w:rsid w:val="006E63C8"/>
    <w:rsid w:val="006E6A05"/>
    <w:rsid w:val="006F05A1"/>
    <w:rsid w:val="006F4AA5"/>
    <w:rsid w:val="00727667"/>
    <w:rsid w:val="00733A0E"/>
    <w:rsid w:val="007634AC"/>
    <w:rsid w:val="007B433F"/>
    <w:rsid w:val="007B71C4"/>
    <w:rsid w:val="007E607B"/>
    <w:rsid w:val="007F18B0"/>
    <w:rsid w:val="00810DC8"/>
    <w:rsid w:val="00836290"/>
    <w:rsid w:val="0085419F"/>
    <w:rsid w:val="00881DDC"/>
    <w:rsid w:val="008C79C6"/>
    <w:rsid w:val="008D1BBE"/>
    <w:rsid w:val="008F163C"/>
    <w:rsid w:val="008F263E"/>
    <w:rsid w:val="008F5DDE"/>
    <w:rsid w:val="008F72F0"/>
    <w:rsid w:val="00900878"/>
    <w:rsid w:val="00983A0A"/>
    <w:rsid w:val="009C4068"/>
    <w:rsid w:val="009D2871"/>
    <w:rsid w:val="009E1CF0"/>
    <w:rsid w:val="009E294C"/>
    <w:rsid w:val="009F2B83"/>
    <w:rsid w:val="00A03358"/>
    <w:rsid w:val="00A110EF"/>
    <w:rsid w:val="00A12542"/>
    <w:rsid w:val="00A327E0"/>
    <w:rsid w:val="00A72F6B"/>
    <w:rsid w:val="00A9120B"/>
    <w:rsid w:val="00A97C85"/>
    <w:rsid w:val="00A97F64"/>
    <w:rsid w:val="00AA41FF"/>
    <w:rsid w:val="00AA544A"/>
    <w:rsid w:val="00AB22BF"/>
    <w:rsid w:val="00AC46DA"/>
    <w:rsid w:val="00B10FD8"/>
    <w:rsid w:val="00B135BA"/>
    <w:rsid w:val="00B20473"/>
    <w:rsid w:val="00B23D33"/>
    <w:rsid w:val="00B6010E"/>
    <w:rsid w:val="00B7401B"/>
    <w:rsid w:val="00B8332D"/>
    <w:rsid w:val="00BA4BEF"/>
    <w:rsid w:val="00BB0C64"/>
    <w:rsid w:val="00BE6C3E"/>
    <w:rsid w:val="00BE7AF0"/>
    <w:rsid w:val="00C234BB"/>
    <w:rsid w:val="00C27E13"/>
    <w:rsid w:val="00C35B4E"/>
    <w:rsid w:val="00C61723"/>
    <w:rsid w:val="00C77C84"/>
    <w:rsid w:val="00C870AB"/>
    <w:rsid w:val="00CB732A"/>
    <w:rsid w:val="00CE5189"/>
    <w:rsid w:val="00D0133E"/>
    <w:rsid w:val="00DA270F"/>
    <w:rsid w:val="00DD7222"/>
    <w:rsid w:val="00DE1A23"/>
    <w:rsid w:val="00DE64CD"/>
    <w:rsid w:val="00E462B9"/>
    <w:rsid w:val="00E546AA"/>
    <w:rsid w:val="00EA61B1"/>
    <w:rsid w:val="00EB5363"/>
    <w:rsid w:val="00EC64AF"/>
    <w:rsid w:val="00EE1AF1"/>
    <w:rsid w:val="00EE370D"/>
    <w:rsid w:val="00F145C3"/>
    <w:rsid w:val="00F86768"/>
    <w:rsid w:val="00FA1094"/>
    <w:rsid w:val="00FA166A"/>
    <w:rsid w:val="00FA2E7B"/>
    <w:rsid w:val="00FB4D39"/>
    <w:rsid w:val="022C2245"/>
    <w:rsid w:val="04762137"/>
    <w:rsid w:val="07633660"/>
    <w:rsid w:val="07F25F48"/>
    <w:rsid w:val="0B434EAC"/>
    <w:rsid w:val="0BC96FF0"/>
    <w:rsid w:val="0DDD673A"/>
    <w:rsid w:val="0F2F794F"/>
    <w:rsid w:val="0FA93F6C"/>
    <w:rsid w:val="127A78E7"/>
    <w:rsid w:val="13A505D8"/>
    <w:rsid w:val="14FD1AE2"/>
    <w:rsid w:val="173C30E8"/>
    <w:rsid w:val="176A116E"/>
    <w:rsid w:val="186F4E86"/>
    <w:rsid w:val="2C535AF3"/>
    <w:rsid w:val="2E7C10B5"/>
    <w:rsid w:val="2F09363D"/>
    <w:rsid w:val="45C0578C"/>
    <w:rsid w:val="48EB44D7"/>
    <w:rsid w:val="4BB723E6"/>
    <w:rsid w:val="4DD12B1F"/>
    <w:rsid w:val="503D3F0A"/>
    <w:rsid w:val="5156444F"/>
    <w:rsid w:val="5478383B"/>
    <w:rsid w:val="54B12E65"/>
    <w:rsid w:val="58086CAC"/>
    <w:rsid w:val="5DE12464"/>
    <w:rsid w:val="6D8979C2"/>
    <w:rsid w:val="6E5B5C8C"/>
    <w:rsid w:val="6EC32CE3"/>
    <w:rsid w:val="6EF03395"/>
    <w:rsid w:val="78497620"/>
    <w:rsid w:val="790F4D60"/>
    <w:rsid w:val="7D415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rPr>
  </w:style>
  <w:style w:type="paragraph" w:styleId="7">
    <w:name w:val="annotation text"/>
    <w:basedOn w:val="1"/>
    <w:semiHidden/>
    <w:unhideWhenUsed/>
    <w:qFormat/>
    <w:uiPriority w:val="0"/>
    <w:pPr>
      <w:jc w:val="left"/>
    </w:pPr>
  </w:style>
  <w:style w:type="paragraph" w:styleId="8">
    <w:name w:val="Body Text Indent"/>
    <w:basedOn w:val="1"/>
    <w:qFormat/>
    <w:uiPriority w:val="0"/>
    <w:pPr>
      <w:ind w:firstLine="576"/>
    </w:pPr>
  </w:style>
  <w:style w:type="paragraph" w:styleId="9">
    <w:name w:val="Plain Text"/>
    <w:basedOn w:val="1"/>
    <w:qFormat/>
    <w:uiPriority w:val="0"/>
    <w:rPr>
      <w:rFonts w:ascii="宋体" w:hAnsi="Courier New"/>
    </w:rPr>
  </w:style>
  <w:style w:type="paragraph" w:styleId="10">
    <w:name w:val="Date"/>
    <w:basedOn w:val="1"/>
    <w:next w:val="1"/>
    <w:qFormat/>
    <w:uiPriority w:val="0"/>
    <w:rPr>
      <w:rFonts w:ascii="宋体" w:eastAsia="宋体"/>
      <w:sz w:val="28"/>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rPr>
  </w:style>
  <w:style w:type="paragraph" w:styleId="14">
    <w:name w:val="Body Text Indent 3"/>
    <w:basedOn w:val="1"/>
    <w:qFormat/>
    <w:uiPriority w:val="0"/>
    <w:pPr>
      <w:spacing w:line="560" w:lineRule="exact"/>
      <w:ind w:firstLine="615"/>
    </w:pPr>
  </w:style>
  <w:style w:type="paragraph" w:styleId="15">
    <w:name w:val="Normal (Web)"/>
    <w:basedOn w:val="1"/>
    <w:semiHidden/>
    <w:unhideWhenUsed/>
    <w:qFormat/>
    <w:uiPriority w:val="0"/>
    <w:pPr>
      <w:spacing w:beforeAutospacing="1" w:afterAutospacing="1"/>
      <w:jc w:val="left"/>
    </w:pPr>
    <w:rPr>
      <w:kern w:val="0"/>
      <w:sz w:val="24"/>
    </w:rPr>
  </w:style>
  <w:style w:type="character" w:styleId="18">
    <w:name w:val="Strong"/>
    <w:basedOn w:val="17"/>
    <w:qFormat/>
    <w:uiPriority w:val="22"/>
    <w:rPr>
      <w:b/>
      <w:bCs/>
    </w:rPr>
  </w:style>
  <w:style w:type="character" w:styleId="19">
    <w:name w:val="page number"/>
    <w:basedOn w:val="17"/>
    <w:qFormat/>
    <w:uiPriority w:val="0"/>
  </w:style>
  <w:style w:type="character" w:styleId="20">
    <w:name w:val="Hyperlink"/>
    <w:basedOn w:val="17"/>
    <w:qFormat/>
    <w:uiPriority w:val="0"/>
    <w:rPr>
      <w:color w:val="0000FF"/>
      <w:u w:val="single"/>
    </w:rPr>
  </w:style>
  <w:style w:type="paragraph" w:customStyle="1" w:styleId="21">
    <w:name w:val="样式1"/>
    <w:basedOn w:val="1"/>
    <w:qFormat/>
    <w:uiPriority w:val="0"/>
    <w:pPr>
      <w:spacing w:before="50" w:beforeLines="50" w:line="420" w:lineRule="exact"/>
      <w:ind w:firstLine="0" w:firstLineChars="0"/>
    </w:pPr>
    <w:rPr>
      <w:rFonts w:eastAsia="宋体"/>
      <w:b/>
      <w:sz w:val="24"/>
      <w:szCs w:val="24"/>
    </w:rPr>
  </w:style>
  <w:style w:type="paragraph" w:customStyle="1" w:styleId="22">
    <w:name w:val="样式2"/>
    <w:basedOn w:val="1"/>
    <w:qFormat/>
    <w:uiPriority w:val="0"/>
    <w:pPr>
      <w:spacing w:line="420" w:lineRule="exact"/>
      <w:ind w:left="176" w:leftChars="56"/>
    </w:pPr>
    <w:rPr>
      <w:rFonts w:hint="eastAsia" w:eastAsia="宋体"/>
      <w:b/>
      <w:sz w:val="24"/>
      <w:szCs w:val="24"/>
    </w:rPr>
  </w:style>
  <w:style w:type="paragraph" w:customStyle="1" w:styleId="23">
    <w:name w:val="样式3"/>
    <w:basedOn w:val="1"/>
    <w:qFormat/>
    <w:uiPriority w:val="0"/>
    <w:pPr>
      <w:spacing w:line="420" w:lineRule="exact"/>
      <w:ind w:firstLine="632" w:firstLineChars="200"/>
    </w:pPr>
    <w:rPr>
      <w:rFonts w:eastAsia="宋体"/>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PC\AppData\Roaming\Microsoft\Templates\2015&#21150;&#209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B1859-45EE-425F-AF28-E26E68A90114}">
  <ds:schemaRefs/>
</ds:datastoreItem>
</file>

<file path=docProps/app.xml><?xml version="1.0" encoding="utf-8"?>
<Properties xmlns="http://schemas.openxmlformats.org/officeDocument/2006/extended-properties" xmlns:vt="http://schemas.openxmlformats.org/officeDocument/2006/docPropsVTypes">
  <Template>2015办函.dot</Template>
  <Company>湖北省教育厅</Company>
  <Pages>16</Pages>
  <Words>8833</Words>
  <Characters>9871</Characters>
  <Lines>227</Lines>
  <Paragraphs>169</Paragraphs>
  <TotalTime>4</TotalTime>
  <ScaleCrop>false</ScaleCrop>
  <LinksUpToDate>false</LinksUpToDate>
  <CharactersWithSpaces>10489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2026-05-14T14:43:00Z</dcterms:created>
  <dc:creator>文印室</dc:creator>
  <cp:lastModifiedBy>这是一个迷</cp:lastModifiedBy>
  <cp:lastPrinted>2018-05-18T07:07:00Z</cp:lastPrinted>
  <dcterms:modified xsi:type="dcterms:W3CDTF">2026-05-30T08:17:19Z</dcterms:modified>
  <dc:title>鄂教〔2001〕2号</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72E0251117E24CA3A8726B8C90FCC75D_12</vt:lpwstr>
  </property>
  <property fmtid="{D5CDD505-2E9C-101B-9397-08002B2CF9AE}" pid="4" name="KSOTemplateDocerSaveRecord">
    <vt:lpwstr>eyJoZGlkIjoiZjFmZWIzNDg2MmIzZjExOTIzMmViNTBmYTMwYTk0ZWYiLCJ1c2VySWQiOiI1OTY0OTQ0MDMifQ==</vt:lpwstr>
  </property>
</Properties>
</file>