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299A5">
      <w:pPr>
        <w:rPr>
          <w:rFonts w:hAnsi="宋体"/>
          <w:bCs/>
          <w:szCs w:val="32"/>
        </w:rPr>
      </w:pPr>
      <w:r>
        <w:rPr>
          <w:rFonts w:hint="eastAsia" w:hAnsi="宋体"/>
          <w:bCs/>
          <w:szCs w:val="32"/>
        </w:rPr>
        <w:t>附件3</w:t>
      </w:r>
    </w:p>
    <w:p w14:paraId="553D3511">
      <w:pPr>
        <w:rPr>
          <w:rFonts w:hAnsi="宋体"/>
          <w:bCs/>
          <w:szCs w:val="32"/>
        </w:rPr>
      </w:pPr>
    </w:p>
    <w:p w14:paraId="2829BD1F">
      <w:pPr>
        <w:ind w:left="3051" w:hanging="3052" w:hangingChars="700"/>
        <w:jc w:val="center"/>
        <w:rPr>
          <w:rFonts w:hint="eastAsia" w:ascii="方正小标宋简体" w:hAnsi="黑体" w:eastAsia="方正小标宋简体" w:cs="黑体"/>
          <w:bCs/>
          <w:kern w:val="0"/>
          <w:sz w:val="44"/>
          <w:szCs w:val="44"/>
        </w:rPr>
      </w:pPr>
      <w:r>
        <w:rPr>
          <w:rFonts w:hint="eastAsia" w:ascii="方正小标宋简体" w:hAnsi="黑体" w:eastAsia="方正小标宋简体" w:cs="黑体"/>
          <w:bCs/>
          <w:kern w:val="0"/>
          <w:sz w:val="44"/>
          <w:szCs w:val="44"/>
        </w:rPr>
        <w:t>湖北省大学生创新训练计划申请书</w:t>
      </w:r>
    </w:p>
    <w:p w14:paraId="64490FF9">
      <w:pPr>
        <w:rPr>
          <w:rFonts w:hAnsi="宋体"/>
          <w:bCs/>
          <w:szCs w:val="32"/>
        </w:rPr>
      </w:pPr>
    </w:p>
    <w:p w14:paraId="61F6A8C2">
      <w:pPr>
        <w:rPr>
          <w:rFonts w:hAnsi="宋体"/>
          <w:bCs/>
          <w:szCs w:val="32"/>
        </w:rPr>
      </w:pPr>
    </w:p>
    <w:p w14:paraId="4EB50A7E">
      <w:pPr>
        <w:spacing w:line="800" w:lineRule="exact"/>
        <w:ind w:left="1241" w:leftChars="393" w:right="4"/>
        <w:rPr>
          <w:rFonts w:hint="eastAsia" w:ascii="Cambria" w:hAnsi="Cambria" w:eastAsiaTheme="minorEastAsia"/>
          <w:sz w:val="28"/>
          <w:szCs w:val="28"/>
          <w:u w:val="single"/>
        </w:rPr>
      </w:pPr>
      <w:r>
        <w:rPr>
          <w:rFonts w:hint="eastAsia"/>
          <w:sz w:val="28"/>
          <w:szCs w:val="28"/>
        </w:rPr>
        <w:t>推 荐 学 校</w:t>
      </w:r>
      <w:r>
        <w:rPr>
          <w:rFonts w:hint="eastAsia" w:hAnsi="宋体"/>
          <w:b/>
          <w:sz w:val="28"/>
          <w:szCs w:val="28"/>
          <w:u w:val="single"/>
        </w:rPr>
        <w:t xml:space="preserve">              </w:t>
      </w:r>
      <w:r>
        <w:rPr>
          <w:rFonts w:hint="eastAsia" w:ascii="Cambria" w:hAnsi="Cambria"/>
          <w:b/>
          <w:sz w:val="28"/>
          <w:szCs w:val="28"/>
          <w:u w:val="single"/>
        </w:rPr>
        <w:t xml:space="preserve"> </w:t>
      </w:r>
      <w:r>
        <w:rPr>
          <w:rFonts w:hint="eastAsia" w:ascii="Times New Roman" w:hAnsi="Times New Roman" w:eastAsia="宋体" w:cs="Times New Roman"/>
          <w:sz w:val="24"/>
          <w:szCs w:val="24"/>
          <w:u w:val="single"/>
        </w:rPr>
        <w:t xml:space="preserve">湖北经济学院 </w:t>
      </w:r>
      <w:r>
        <w:rPr>
          <w:rFonts w:hint="eastAsia" w:hAnsi="宋体"/>
          <w:b/>
          <w:sz w:val="28"/>
          <w:szCs w:val="28"/>
          <w:u w:val="single"/>
        </w:rPr>
        <w:t xml:space="preserve">           </w:t>
      </w:r>
      <w:r>
        <w:rPr>
          <w:rFonts w:hint="eastAsia" w:hAnsi="宋体"/>
          <w:b/>
          <w:sz w:val="28"/>
          <w:szCs w:val="28"/>
          <w:u w:val="single"/>
          <w:lang w:val="en-US" w:eastAsia="zh-CN"/>
        </w:rPr>
        <w:t xml:space="preserve">  </w:t>
      </w:r>
      <w:r>
        <w:rPr>
          <w:rFonts w:hint="eastAsia" w:hAnsi="宋体"/>
          <w:b/>
          <w:sz w:val="28"/>
          <w:szCs w:val="28"/>
          <w:u w:val="single"/>
        </w:rPr>
        <w:t xml:space="preserve">   </w:t>
      </w:r>
    </w:p>
    <w:p w14:paraId="126072D2">
      <w:pPr>
        <w:spacing w:line="800" w:lineRule="exact"/>
        <w:ind w:right="4" w:firstLine="1242" w:firstLineChars="450"/>
        <w:rPr>
          <w:rFonts w:hint="eastAsia" w:ascii="Times New Roman" w:hAnsi="Times New Roman" w:eastAsia="宋体" w:cs="Times New Roman"/>
          <w:sz w:val="24"/>
          <w:szCs w:val="24"/>
          <w:u w:val="single"/>
          <w:lang w:val="en-US" w:eastAsia="zh-CN"/>
        </w:rPr>
      </w:pPr>
      <w:r>
        <w:rPr>
          <w:rFonts w:hint="eastAsia"/>
          <w:sz w:val="28"/>
          <w:szCs w:val="28"/>
        </w:rPr>
        <w:t>项 目 名 称</w:t>
      </w:r>
      <w:r>
        <w:rPr>
          <w:rFonts w:hint="default" w:ascii="Times New Roman" w:hAnsi="Times New Roman" w:eastAsia="宋体" w:cs="Times New Roman"/>
          <w:sz w:val="24"/>
          <w:szCs w:val="24"/>
          <w:u w:val="single"/>
        </w:rPr>
        <w:t>“灵眸伴宠”</w:t>
      </w:r>
      <w:r>
        <w:rPr>
          <w:rFonts w:hint="default" w:ascii="Times New Roman" w:hAnsi="Times New Roman" w:eastAsia="宋体" w:cs="Times New Roman"/>
          <w:sz w:val="24"/>
          <w:szCs w:val="24"/>
          <w:u w:val="single"/>
          <w:lang w:val="en-US" w:eastAsia="zh-CN"/>
        </w:rPr>
        <w:t>-</w:t>
      </w:r>
      <w:r>
        <w:rPr>
          <w:rFonts w:hint="default" w:ascii="Times New Roman" w:hAnsi="Times New Roman" w:eastAsia="宋体" w:cs="Times New Roman"/>
          <w:sz w:val="24"/>
          <w:szCs w:val="24"/>
          <w:u w:val="single"/>
        </w:rPr>
        <w:t>基于多模态感知的自适应柔性跟随</w:t>
      </w:r>
      <w:r>
        <w:rPr>
          <w:rFonts w:hint="default" w:ascii="Times New Roman" w:hAnsi="Times New Roman" w:eastAsia="宋体" w:cs="Times New Roman"/>
          <w:sz w:val="24"/>
          <w:szCs w:val="24"/>
          <w:u w:val="single"/>
          <w:lang w:val="en-US" w:eastAsia="zh-CN"/>
        </w:rPr>
        <w:t>伴宠</w:t>
      </w:r>
      <w:r>
        <w:rPr>
          <w:rFonts w:hint="default" w:ascii="Times New Roman" w:hAnsi="Times New Roman" w:eastAsia="宋体" w:cs="Times New Roman"/>
          <w:sz w:val="24"/>
          <w:szCs w:val="24"/>
          <w:u w:val="single"/>
        </w:rPr>
        <w:t>机器人</w:t>
      </w:r>
    </w:p>
    <w:p w14:paraId="19219D1C">
      <w:pPr>
        <w:spacing w:line="800" w:lineRule="exact"/>
        <w:ind w:right="4" w:firstLine="1242" w:firstLineChars="450"/>
        <w:rPr>
          <w:sz w:val="24"/>
        </w:rPr>
      </w:pPr>
      <w:r>
        <w:rPr>
          <w:rFonts w:hint="eastAsia"/>
          <w:sz w:val="28"/>
          <w:szCs w:val="28"/>
        </w:rPr>
        <w:t>项 目 类 型</w:t>
      </w:r>
      <w:r>
        <w:rPr>
          <w:rFonts w:hint="eastAsia"/>
          <w:sz w:val="28"/>
          <w:szCs w:val="28"/>
          <w:u w:val="single"/>
        </w:rPr>
        <w:t xml:space="preserve">   </w:t>
      </w:r>
      <w:r>
        <w:rPr>
          <w:rFonts w:hint="eastAsia" w:ascii="宋体" w:hAnsi="宋体" w:eastAsia="宋体" w:cs="宋体"/>
          <w:sz w:val="24"/>
          <w:u w:val="single"/>
        </w:rPr>
        <w:t xml:space="preserve">☑创新训练项目□创业训练项目□创业实践项目  </w:t>
      </w:r>
      <w:r>
        <w:rPr>
          <w:rFonts w:hint="eastAsia"/>
          <w:sz w:val="24"/>
          <w:u w:val="single"/>
        </w:rPr>
        <w:t xml:space="preserve">   </w:t>
      </w:r>
    </w:p>
    <w:p w14:paraId="39950534">
      <w:pPr>
        <w:spacing w:line="800" w:lineRule="exact"/>
        <w:ind w:right="4" w:firstLine="1242" w:firstLineChars="450"/>
        <w:rPr>
          <w:color w:val="000000"/>
          <w:sz w:val="28"/>
          <w:szCs w:val="28"/>
          <w:u w:val="single"/>
        </w:rPr>
      </w:pPr>
      <w:r>
        <w:rPr>
          <w:rFonts w:hint="eastAsia"/>
          <w:sz w:val="28"/>
          <w:szCs w:val="28"/>
        </w:rPr>
        <w:t>所属一级学科名称</w:t>
      </w:r>
      <w:r>
        <w:rPr>
          <w:rFonts w:hint="eastAsia"/>
          <w:sz w:val="28"/>
          <w:szCs w:val="28"/>
          <w:u w:val="single"/>
        </w:rPr>
        <w:tab/>
      </w:r>
      <w:r>
        <w:rPr>
          <w:rFonts w:hint="eastAsia"/>
          <w:color w:val="000000"/>
          <w:sz w:val="28"/>
          <w:szCs w:val="28"/>
          <w:u w:val="single"/>
        </w:rPr>
        <w:tab/>
      </w:r>
      <w:r>
        <w:rPr>
          <w:rFonts w:hint="eastAsia"/>
          <w:color w:val="000000"/>
          <w:sz w:val="28"/>
          <w:szCs w:val="28"/>
          <w:u w:val="single"/>
        </w:rPr>
        <w:t xml:space="preserve">  </w:t>
      </w:r>
      <w:r>
        <w:rPr>
          <w:rFonts w:hint="eastAsia" w:ascii="宋体" w:hAnsi="宋体" w:eastAsia="宋体" w:cs="宋体"/>
          <w:color w:val="000000"/>
          <w:sz w:val="24"/>
          <w:szCs w:val="24"/>
          <w:u w:val="single"/>
        </w:rPr>
        <w:t>计算机科学与技术</w:t>
      </w:r>
      <w:r>
        <w:rPr>
          <w:rFonts w:hint="eastAsia" w:ascii="宋体" w:hAnsi="宋体" w:eastAsia="宋体" w:cs="宋体"/>
          <w:color w:val="000000"/>
          <w:sz w:val="24"/>
          <w:szCs w:val="24"/>
          <w:u w:val="single"/>
        </w:rPr>
        <w:tab/>
      </w:r>
      <w:r>
        <w:rPr>
          <w:rFonts w:hint="eastAsia"/>
          <w:color w:val="000000"/>
          <w:sz w:val="28"/>
          <w:szCs w:val="28"/>
          <w:u w:val="single"/>
        </w:rPr>
        <w:tab/>
      </w:r>
      <w:r>
        <w:rPr>
          <w:rFonts w:hint="eastAsia"/>
          <w:color w:val="000000"/>
          <w:sz w:val="28"/>
          <w:szCs w:val="28"/>
          <w:u w:val="single"/>
        </w:rPr>
        <w:tab/>
      </w:r>
      <w:r>
        <w:rPr>
          <w:rFonts w:hint="eastAsia"/>
          <w:color w:val="000000"/>
          <w:sz w:val="28"/>
          <w:szCs w:val="28"/>
          <w:u w:val="single"/>
        </w:rPr>
        <w:tab/>
      </w:r>
      <w:r>
        <w:rPr>
          <w:rFonts w:hint="eastAsia"/>
          <w:color w:val="000000"/>
          <w:sz w:val="28"/>
          <w:szCs w:val="28"/>
          <w:u w:val="single"/>
        </w:rPr>
        <w:tab/>
      </w:r>
      <w:r>
        <w:rPr>
          <w:rFonts w:hint="eastAsia"/>
          <w:color w:val="000000"/>
          <w:sz w:val="28"/>
          <w:szCs w:val="28"/>
          <w:u w:val="single"/>
        </w:rPr>
        <w:t xml:space="preserve"> </w:t>
      </w:r>
    </w:p>
    <w:p w14:paraId="24F5610D">
      <w:pPr>
        <w:spacing w:line="800" w:lineRule="exact"/>
        <w:ind w:right="4" w:firstLine="1242" w:firstLineChars="450"/>
        <w:rPr>
          <w:sz w:val="28"/>
          <w:szCs w:val="28"/>
          <w:u w:val="single"/>
        </w:rPr>
      </w:pPr>
      <w:r>
        <w:rPr>
          <w:rFonts w:hint="eastAsia"/>
          <w:sz w:val="28"/>
          <w:szCs w:val="28"/>
        </w:rPr>
        <w:t>所属二级学科名称</w:t>
      </w:r>
      <w:r>
        <w:rPr>
          <w:rFonts w:hint="eastAsia"/>
          <w:sz w:val="28"/>
          <w:szCs w:val="28"/>
          <w:u w:val="single"/>
        </w:rPr>
        <w:t xml:space="preserve">　　　　 </w:t>
      </w:r>
      <w:r>
        <w:rPr>
          <w:rFonts w:hint="eastAsia" w:ascii="宋体" w:hAnsi="宋体" w:eastAsia="宋体" w:cs="宋体"/>
          <w:color w:val="000000"/>
          <w:sz w:val="24"/>
          <w:szCs w:val="24"/>
          <w:u w:val="single"/>
        </w:rPr>
        <w:t xml:space="preserve">计算机应用技术 </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p>
    <w:p w14:paraId="7498FC4C">
      <w:pPr>
        <w:spacing w:line="800" w:lineRule="exact"/>
        <w:ind w:right="4" w:firstLine="1242" w:firstLineChars="450"/>
        <w:rPr>
          <w:sz w:val="28"/>
          <w:szCs w:val="28"/>
          <w:u w:val="single"/>
        </w:rPr>
      </w:pPr>
      <w:r>
        <w:rPr>
          <w:rFonts w:hint="eastAsia"/>
          <w:sz w:val="28"/>
          <w:szCs w:val="28"/>
        </w:rPr>
        <w:t>项 目 负 责 人</w:t>
      </w:r>
      <w:r>
        <w:rPr>
          <w:rFonts w:hint="eastAsia"/>
          <w:sz w:val="28"/>
          <w:szCs w:val="28"/>
          <w:u w:val="single"/>
        </w:rPr>
        <w:t xml:space="preserve"> </w:t>
      </w:r>
      <w:r>
        <w:rPr>
          <w:rFonts w:hint="eastAsia"/>
          <w:sz w:val="28"/>
          <w:szCs w:val="28"/>
          <w:u w:val="single"/>
        </w:rPr>
        <w:tab/>
      </w:r>
      <w:r>
        <w:rPr>
          <w:rFonts w:hint="eastAsia"/>
          <w:sz w:val="28"/>
          <w:szCs w:val="28"/>
          <w:u w:val="single"/>
        </w:rPr>
        <w:t xml:space="preserve">             </w:t>
      </w:r>
      <w:r>
        <w:rPr>
          <w:rFonts w:hint="eastAsia" w:ascii="宋体" w:hAnsi="宋体" w:eastAsia="宋体" w:cs="宋体"/>
          <w:color w:val="000000"/>
          <w:sz w:val="24"/>
          <w:szCs w:val="24"/>
          <w:u w:val="single"/>
        </w:rPr>
        <w:t xml:space="preserve">刘格雅 </w:t>
      </w:r>
      <w:r>
        <w:rPr>
          <w:rFonts w:hint="eastAsia"/>
          <w:sz w:val="28"/>
          <w:szCs w:val="28"/>
          <w:u w:val="single"/>
        </w:rPr>
        <w:t xml:space="preserve">                   </w:t>
      </w:r>
    </w:p>
    <w:p w14:paraId="2C13E1E0">
      <w:pPr>
        <w:spacing w:line="800" w:lineRule="exact"/>
        <w:ind w:right="4" w:firstLine="1242" w:firstLineChars="450"/>
        <w:rPr>
          <w:szCs w:val="32"/>
          <w:u w:val="single"/>
        </w:rPr>
      </w:pPr>
      <w:r>
        <w:rPr>
          <w:rFonts w:hint="eastAsia"/>
          <w:sz w:val="28"/>
          <w:szCs w:val="28"/>
        </w:rPr>
        <w:t xml:space="preserve">申 报 日 期 </w:t>
      </w:r>
      <w:r>
        <w:rPr>
          <w:sz w:val="28"/>
          <w:szCs w:val="28"/>
          <w:u w:val="single"/>
        </w:rPr>
        <w:t>　　　　</w:t>
      </w:r>
      <w:r>
        <w:rPr>
          <w:rFonts w:hint="eastAsia"/>
          <w:sz w:val="28"/>
          <w:szCs w:val="28"/>
          <w:u w:val="single"/>
        </w:rPr>
        <w:t xml:space="preserve">       </w:t>
      </w:r>
      <w:r>
        <w:rPr>
          <w:sz w:val="28"/>
          <w:szCs w:val="28"/>
          <w:u w:val="single"/>
        </w:rPr>
        <w:t>2026年6月</w:t>
      </w:r>
      <w:r>
        <w:rPr>
          <w:rFonts w:hint="eastAsia"/>
          <w:sz w:val="28"/>
          <w:szCs w:val="28"/>
          <w:u w:val="single"/>
        </w:rPr>
        <w:t xml:space="preserve">                 </w:t>
      </w:r>
    </w:p>
    <w:p w14:paraId="11CD285E">
      <w:pPr>
        <w:spacing w:line="580" w:lineRule="exact"/>
        <w:ind w:left="1580" w:leftChars="500"/>
        <w:rPr>
          <w:rFonts w:hAnsi="宋体"/>
          <w:b/>
          <w:bCs/>
          <w:szCs w:val="32"/>
        </w:rPr>
      </w:pPr>
    </w:p>
    <w:p w14:paraId="06925766">
      <w:pPr>
        <w:spacing w:line="580" w:lineRule="exact"/>
        <w:ind w:left="1580" w:leftChars="500"/>
        <w:rPr>
          <w:rFonts w:hAnsi="宋体"/>
          <w:b/>
          <w:bCs/>
          <w:szCs w:val="32"/>
        </w:rPr>
      </w:pPr>
    </w:p>
    <w:p w14:paraId="372F8ED7">
      <w:pPr>
        <w:spacing w:line="580" w:lineRule="exact"/>
        <w:rPr>
          <w:rFonts w:hAnsi="宋体"/>
          <w:b/>
          <w:bCs/>
          <w:szCs w:val="32"/>
        </w:rPr>
      </w:pPr>
    </w:p>
    <w:p w14:paraId="36879D15">
      <w:pPr>
        <w:spacing w:line="580" w:lineRule="exact"/>
        <w:rPr>
          <w:rFonts w:hAnsi="宋体"/>
          <w:b/>
          <w:bCs/>
          <w:szCs w:val="32"/>
        </w:rPr>
      </w:pPr>
    </w:p>
    <w:p w14:paraId="0BA1F357">
      <w:pPr>
        <w:spacing w:line="580" w:lineRule="exact"/>
        <w:rPr>
          <w:rFonts w:hAnsi="宋体"/>
          <w:b/>
          <w:bCs/>
          <w:szCs w:val="32"/>
        </w:rPr>
      </w:pPr>
    </w:p>
    <w:p w14:paraId="5F0119BC">
      <w:pPr>
        <w:snapToGrid w:val="0"/>
        <w:spacing w:line="580" w:lineRule="exact"/>
        <w:ind w:firstLine="539"/>
        <w:jc w:val="center"/>
        <w:rPr>
          <w:rFonts w:hAnsi="宋体"/>
          <w:szCs w:val="32"/>
        </w:rPr>
      </w:pPr>
      <w:r>
        <w:rPr>
          <w:rFonts w:hint="eastAsia" w:hAnsi="宋体"/>
          <w:szCs w:val="32"/>
        </w:rPr>
        <w:t>湖北省教育厅制</w:t>
      </w:r>
    </w:p>
    <w:p w14:paraId="484525ED">
      <w:pPr>
        <w:snapToGrid w:val="0"/>
        <w:spacing w:line="580" w:lineRule="exact"/>
        <w:ind w:firstLine="539"/>
        <w:jc w:val="center"/>
        <w:rPr>
          <w:rFonts w:hint="eastAsia" w:hAnsi="宋体"/>
          <w:szCs w:val="32"/>
        </w:rPr>
      </w:pPr>
      <w:r>
        <w:rPr>
          <w:rFonts w:hint="eastAsia" w:hAnsi="宋体"/>
          <w:szCs w:val="32"/>
        </w:rPr>
        <w:t>二○二</w:t>
      </w:r>
      <w:r>
        <w:rPr>
          <w:rFonts w:hint="eastAsia" w:ascii="Times New Roman" w:hAnsi="宋体" w:eastAsia="仿宋_GB2312" w:cs="Times New Roman"/>
          <w:sz w:val="32"/>
          <w:szCs w:val="32"/>
        </w:rPr>
        <w:t>○年五月</w:t>
      </w:r>
      <w:bookmarkStart w:id="1" w:name="_GoBack"/>
      <w:bookmarkEnd w:id="1"/>
    </w:p>
    <w:p w14:paraId="66DC7D56">
      <w:pPr>
        <w:snapToGrid w:val="0"/>
        <w:spacing w:line="580" w:lineRule="exact"/>
        <w:ind w:firstLine="539"/>
        <w:jc w:val="center"/>
        <w:rPr>
          <w:rFonts w:hint="eastAsia" w:hAnsi="宋体"/>
          <w:szCs w:val="32"/>
        </w:rPr>
      </w:pPr>
    </w:p>
    <w:tbl>
      <w:tblPr>
        <w:tblStyle w:val="16"/>
        <w:tblW w:w="9734"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6"/>
        <w:gridCol w:w="1251"/>
        <w:gridCol w:w="911"/>
        <w:gridCol w:w="717"/>
        <w:gridCol w:w="1003"/>
        <w:gridCol w:w="1608"/>
        <w:gridCol w:w="1391"/>
        <w:gridCol w:w="2057"/>
      </w:tblGrid>
      <w:tr w14:paraId="6703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047" w:type="dxa"/>
            <w:gridSpan w:val="2"/>
            <w:vAlign w:val="center"/>
          </w:tcPr>
          <w:p w14:paraId="0ED8429D">
            <w:pPr>
              <w:jc w:val="center"/>
              <w:rPr>
                <w:b/>
                <w:sz w:val="24"/>
              </w:rPr>
            </w:pPr>
            <w:r>
              <w:rPr>
                <w:rFonts w:hint="eastAsia"/>
                <w:b/>
                <w:sz w:val="24"/>
              </w:rPr>
              <w:t>项目名称</w:t>
            </w:r>
          </w:p>
        </w:tc>
        <w:tc>
          <w:tcPr>
            <w:tcW w:w="7687" w:type="dxa"/>
            <w:gridSpan w:val="6"/>
            <w:vAlign w:val="center"/>
          </w:tcPr>
          <w:p w14:paraId="1980387C">
            <w:pPr>
              <w:jc w:val="center"/>
              <w:rPr>
                <w:rFonts w:hint="eastAsia" w:ascii="宋体" w:hAnsi="宋体" w:eastAsia="宋体"/>
                <w:sz w:val="28"/>
                <w:szCs w:val="28"/>
              </w:rPr>
            </w:pPr>
            <w:r>
              <w:rPr>
                <w:rFonts w:hint="default" w:ascii="Times New Roman" w:hAnsi="Times New Roman" w:eastAsia="宋体" w:cs="Times New Roman"/>
                <w:b/>
                <w:bCs/>
                <w:sz w:val="24"/>
                <w:szCs w:val="24"/>
              </w:rPr>
              <w:t>“灵眸伴宠”</w:t>
            </w: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基于多模态感知的自适应柔性跟随</w:t>
            </w:r>
            <w:r>
              <w:rPr>
                <w:rFonts w:hint="default" w:ascii="Times New Roman" w:hAnsi="Times New Roman" w:eastAsia="宋体" w:cs="Times New Roman"/>
                <w:b/>
                <w:bCs/>
                <w:sz w:val="24"/>
                <w:szCs w:val="24"/>
                <w:lang w:val="en-US" w:eastAsia="zh-CN"/>
              </w:rPr>
              <w:t>伴宠</w:t>
            </w:r>
            <w:r>
              <w:rPr>
                <w:rFonts w:hint="default" w:ascii="Times New Roman" w:hAnsi="Times New Roman" w:eastAsia="宋体" w:cs="Times New Roman"/>
                <w:b/>
                <w:bCs/>
                <w:sz w:val="24"/>
                <w:szCs w:val="24"/>
              </w:rPr>
              <w:t>机器人</w:t>
            </w:r>
          </w:p>
        </w:tc>
      </w:tr>
      <w:tr w14:paraId="004C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047" w:type="dxa"/>
            <w:gridSpan w:val="2"/>
            <w:vAlign w:val="center"/>
          </w:tcPr>
          <w:p w14:paraId="13936AF0">
            <w:pPr>
              <w:jc w:val="center"/>
              <w:rPr>
                <w:b/>
                <w:sz w:val="24"/>
              </w:rPr>
            </w:pPr>
            <w:r>
              <w:rPr>
                <w:rFonts w:hint="eastAsia"/>
                <w:b/>
                <w:sz w:val="24"/>
              </w:rPr>
              <w:t>项目类型</w:t>
            </w:r>
          </w:p>
        </w:tc>
        <w:tc>
          <w:tcPr>
            <w:tcW w:w="7687" w:type="dxa"/>
            <w:gridSpan w:val="6"/>
            <w:vAlign w:val="center"/>
          </w:tcPr>
          <w:p w14:paraId="197A34E8">
            <w:pPr>
              <w:rPr>
                <w:b/>
                <w:sz w:val="24"/>
              </w:rPr>
            </w:pPr>
            <w:r>
              <w:rPr>
                <w:rFonts w:hint="eastAsia"/>
                <w:b/>
                <w:sz w:val="24"/>
              </w:rPr>
              <w:t>（√）创新训练项目  （）创业训练项目  （）创业实践项目</w:t>
            </w:r>
          </w:p>
        </w:tc>
      </w:tr>
      <w:tr w14:paraId="4867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047" w:type="dxa"/>
            <w:gridSpan w:val="2"/>
            <w:vAlign w:val="center"/>
          </w:tcPr>
          <w:p w14:paraId="10D2A054">
            <w:pPr>
              <w:jc w:val="center"/>
              <w:rPr>
                <w:b/>
                <w:sz w:val="24"/>
              </w:rPr>
            </w:pPr>
            <w:r>
              <w:rPr>
                <w:rFonts w:hint="eastAsia"/>
                <w:b/>
                <w:sz w:val="24"/>
              </w:rPr>
              <w:t>项目实施时间</w:t>
            </w:r>
          </w:p>
        </w:tc>
        <w:tc>
          <w:tcPr>
            <w:tcW w:w="7687" w:type="dxa"/>
            <w:gridSpan w:val="6"/>
            <w:vAlign w:val="center"/>
          </w:tcPr>
          <w:p w14:paraId="7B5D6139">
            <w:pPr>
              <w:rPr>
                <w:b/>
                <w:sz w:val="24"/>
              </w:rPr>
            </w:pPr>
            <w:r>
              <w:rPr>
                <w:rFonts w:hint="eastAsia"/>
                <w:b/>
                <w:sz w:val="24"/>
              </w:rPr>
              <w:t>起始时间： 2026 年 6 月          完成时间： 2027 年 6 月</w:t>
            </w:r>
          </w:p>
        </w:tc>
      </w:tr>
      <w:tr w14:paraId="6DDF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796" w:type="dxa"/>
            <w:vMerge w:val="restart"/>
            <w:textDirection w:val="tbRlV"/>
            <w:vAlign w:val="center"/>
          </w:tcPr>
          <w:p w14:paraId="4FE81551">
            <w:pPr>
              <w:ind w:left="113" w:right="113"/>
              <w:jc w:val="center"/>
              <w:rPr>
                <w:b/>
                <w:sz w:val="24"/>
              </w:rPr>
            </w:pPr>
            <w:r>
              <w:rPr>
                <w:rFonts w:hint="eastAsia"/>
                <w:b/>
                <w:sz w:val="24"/>
              </w:rPr>
              <w:t>申请人或申请团队</w:t>
            </w:r>
          </w:p>
        </w:tc>
        <w:tc>
          <w:tcPr>
            <w:tcW w:w="1251" w:type="dxa"/>
            <w:vAlign w:val="center"/>
          </w:tcPr>
          <w:p w14:paraId="15869E58">
            <w:pPr>
              <w:jc w:val="both"/>
              <w:rPr>
                <w:b/>
                <w:sz w:val="24"/>
              </w:rPr>
            </w:pPr>
          </w:p>
        </w:tc>
        <w:tc>
          <w:tcPr>
            <w:tcW w:w="911" w:type="dxa"/>
            <w:vAlign w:val="center"/>
          </w:tcPr>
          <w:p w14:paraId="6875483E">
            <w:pPr>
              <w:jc w:val="both"/>
              <w:rPr>
                <w:b/>
                <w:sz w:val="24"/>
              </w:rPr>
            </w:pPr>
            <w:r>
              <w:rPr>
                <w:rFonts w:hint="eastAsia"/>
                <w:b/>
                <w:sz w:val="24"/>
              </w:rPr>
              <w:t>姓名</w:t>
            </w:r>
          </w:p>
        </w:tc>
        <w:tc>
          <w:tcPr>
            <w:tcW w:w="717" w:type="dxa"/>
            <w:tcBorders>
              <w:right w:val="single" w:color="auto" w:sz="4" w:space="0"/>
            </w:tcBorders>
            <w:vAlign w:val="center"/>
          </w:tcPr>
          <w:p w14:paraId="76616E27">
            <w:pPr>
              <w:jc w:val="both"/>
              <w:rPr>
                <w:b/>
                <w:sz w:val="24"/>
              </w:rPr>
            </w:pPr>
            <w:r>
              <w:rPr>
                <w:rFonts w:hint="eastAsia"/>
                <w:b/>
                <w:sz w:val="24"/>
                <w:lang w:val="en-US" w:eastAsia="zh-CN"/>
              </w:rPr>
              <w:t>年</w:t>
            </w:r>
            <w:r>
              <w:rPr>
                <w:rFonts w:hint="eastAsia"/>
                <w:b/>
                <w:sz w:val="24"/>
              </w:rPr>
              <w:t>级</w:t>
            </w:r>
          </w:p>
        </w:tc>
        <w:tc>
          <w:tcPr>
            <w:tcW w:w="1003" w:type="dxa"/>
            <w:tcBorders>
              <w:left w:val="single" w:color="auto" w:sz="4" w:space="0"/>
            </w:tcBorders>
            <w:vAlign w:val="center"/>
          </w:tcPr>
          <w:p w14:paraId="12CBC322">
            <w:pPr>
              <w:jc w:val="both"/>
              <w:rPr>
                <w:b/>
                <w:sz w:val="24"/>
              </w:rPr>
            </w:pPr>
            <w:r>
              <w:rPr>
                <w:rFonts w:hint="eastAsia"/>
                <w:b/>
                <w:sz w:val="24"/>
              </w:rPr>
              <w:t>学校</w:t>
            </w:r>
          </w:p>
        </w:tc>
        <w:tc>
          <w:tcPr>
            <w:tcW w:w="1608" w:type="dxa"/>
            <w:vAlign w:val="center"/>
          </w:tcPr>
          <w:p w14:paraId="2E09B7A9">
            <w:pPr>
              <w:jc w:val="both"/>
              <w:rPr>
                <w:b/>
                <w:sz w:val="24"/>
              </w:rPr>
            </w:pPr>
            <w:r>
              <w:rPr>
                <w:rFonts w:hint="eastAsia"/>
                <w:b/>
                <w:sz w:val="24"/>
              </w:rPr>
              <w:t>所在院系</w:t>
            </w:r>
          </w:p>
          <w:p w14:paraId="45D78CBC">
            <w:pPr>
              <w:jc w:val="both"/>
              <w:rPr>
                <w:b/>
                <w:sz w:val="24"/>
              </w:rPr>
            </w:pPr>
            <w:r>
              <w:rPr>
                <w:rFonts w:hint="eastAsia"/>
                <w:b/>
                <w:sz w:val="24"/>
              </w:rPr>
              <w:t>/专业</w:t>
            </w:r>
          </w:p>
        </w:tc>
        <w:tc>
          <w:tcPr>
            <w:tcW w:w="1391" w:type="dxa"/>
            <w:vAlign w:val="center"/>
          </w:tcPr>
          <w:p w14:paraId="793EE6EE">
            <w:pPr>
              <w:jc w:val="both"/>
              <w:rPr>
                <w:b/>
                <w:sz w:val="24"/>
              </w:rPr>
            </w:pPr>
            <w:r>
              <w:rPr>
                <w:rFonts w:hint="eastAsia"/>
                <w:b/>
                <w:sz w:val="24"/>
              </w:rPr>
              <w:t>联系电话</w:t>
            </w:r>
          </w:p>
        </w:tc>
        <w:tc>
          <w:tcPr>
            <w:tcW w:w="2057" w:type="dxa"/>
            <w:vAlign w:val="center"/>
          </w:tcPr>
          <w:p w14:paraId="7D2E221B">
            <w:pPr>
              <w:jc w:val="both"/>
              <w:rPr>
                <w:b/>
                <w:sz w:val="24"/>
              </w:rPr>
            </w:pPr>
            <w:r>
              <w:rPr>
                <w:rFonts w:hint="eastAsia"/>
                <w:b/>
                <w:sz w:val="24"/>
              </w:rPr>
              <w:t>E-mail</w:t>
            </w:r>
          </w:p>
        </w:tc>
      </w:tr>
      <w:tr w14:paraId="59BA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trPr>
        <w:tc>
          <w:tcPr>
            <w:tcW w:w="796" w:type="dxa"/>
            <w:vMerge w:val="continue"/>
            <w:textDirection w:val="tbRlV"/>
          </w:tcPr>
          <w:p w14:paraId="2F05CB14">
            <w:pPr>
              <w:ind w:left="113" w:right="113"/>
              <w:jc w:val="center"/>
              <w:rPr>
                <w:b/>
                <w:sz w:val="24"/>
              </w:rPr>
            </w:pPr>
          </w:p>
        </w:tc>
        <w:tc>
          <w:tcPr>
            <w:tcW w:w="1251" w:type="dxa"/>
            <w:vAlign w:val="center"/>
          </w:tcPr>
          <w:p w14:paraId="0C4C8D9E">
            <w:pPr>
              <w:jc w:val="both"/>
              <w:rPr>
                <w:b/>
                <w:sz w:val="24"/>
              </w:rPr>
            </w:pPr>
            <w:r>
              <w:rPr>
                <w:rFonts w:hint="eastAsia"/>
                <w:b/>
                <w:sz w:val="24"/>
              </w:rPr>
              <w:t>主持人</w:t>
            </w:r>
          </w:p>
        </w:tc>
        <w:tc>
          <w:tcPr>
            <w:tcW w:w="911" w:type="dxa"/>
            <w:tcBorders>
              <w:bottom w:val="single" w:color="auto" w:sz="4" w:space="0"/>
            </w:tcBorders>
            <w:vAlign w:val="center"/>
          </w:tcPr>
          <w:p w14:paraId="6FE1A795">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刘格雅</w:t>
            </w:r>
          </w:p>
        </w:tc>
        <w:tc>
          <w:tcPr>
            <w:tcW w:w="717" w:type="dxa"/>
            <w:tcBorders>
              <w:top w:val="single" w:color="auto" w:sz="4" w:space="0"/>
              <w:bottom w:val="single" w:color="auto" w:sz="4" w:space="0"/>
              <w:right w:val="single" w:color="auto" w:sz="4" w:space="0"/>
            </w:tcBorders>
            <w:vAlign w:val="center"/>
          </w:tcPr>
          <w:p w14:paraId="3EE70061">
            <w:pPr>
              <w:jc w:val="both"/>
              <w:rPr>
                <w:rFonts w:hint="default" w:ascii="Times New Roman" w:hAnsi="Times New Roman" w:eastAsia="宋体" w:cs="Times New Roman"/>
                <w:b w:val="0"/>
                <w:bCs/>
                <w:sz w:val="21"/>
                <w:szCs w:val="21"/>
              </w:rPr>
            </w:pPr>
            <w:r>
              <w:rPr>
                <w:rFonts w:hint="eastAsia" w:eastAsia="宋体" w:cs="Times New Roman"/>
                <w:b w:val="0"/>
                <w:bCs/>
                <w:sz w:val="21"/>
                <w:szCs w:val="21"/>
                <w:lang w:val="en-US" w:eastAsia="zh-CN"/>
              </w:rPr>
              <w:t>20</w:t>
            </w:r>
            <w:r>
              <w:rPr>
                <w:rFonts w:hint="default" w:ascii="Times New Roman" w:hAnsi="Times New Roman" w:eastAsia="宋体" w:cs="Times New Roman"/>
                <w:b w:val="0"/>
                <w:bCs/>
                <w:sz w:val="21"/>
                <w:szCs w:val="21"/>
              </w:rPr>
              <w:t>24</w:t>
            </w:r>
          </w:p>
        </w:tc>
        <w:tc>
          <w:tcPr>
            <w:tcW w:w="1003" w:type="dxa"/>
            <w:tcBorders>
              <w:top w:val="single" w:color="auto" w:sz="4" w:space="0"/>
              <w:left w:val="single" w:color="auto" w:sz="4" w:space="0"/>
              <w:bottom w:val="single" w:color="auto" w:sz="4" w:space="0"/>
            </w:tcBorders>
            <w:vAlign w:val="center"/>
          </w:tcPr>
          <w:p w14:paraId="3F066FD1">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湖北经济学院</w:t>
            </w:r>
          </w:p>
        </w:tc>
        <w:tc>
          <w:tcPr>
            <w:tcW w:w="1608" w:type="dxa"/>
            <w:tcBorders>
              <w:bottom w:val="single" w:color="auto" w:sz="4" w:space="0"/>
            </w:tcBorders>
            <w:vAlign w:val="center"/>
          </w:tcPr>
          <w:p w14:paraId="74FC71F3">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信息工程学院/物联网工程</w:t>
            </w:r>
          </w:p>
        </w:tc>
        <w:tc>
          <w:tcPr>
            <w:tcW w:w="1391" w:type="dxa"/>
            <w:tcBorders>
              <w:bottom w:val="single" w:color="auto" w:sz="4" w:space="0"/>
            </w:tcBorders>
            <w:vAlign w:val="center"/>
          </w:tcPr>
          <w:p w14:paraId="13AC6CFE">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18707226137</w:t>
            </w:r>
          </w:p>
        </w:tc>
        <w:tc>
          <w:tcPr>
            <w:tcW w:w="2057" w:type="dxa"/>
            <w:tcBorders>
              <w:bottom w:val="single" w:color="auto" w:sz="4" w:space="0"/>
            </w:tcBorders>
            <w:vAlign w:val="center"/>
          </w:tcPr>
          <w:p w14:paraId="58DE0D89">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252475690@qq.com</w:t>
            </w:r>
          </w:p>
        </w:tc>
      </w:tr>
      <w:tr w14:paraId="505C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796" w:type="dxa"/>
            <w:vMerge w:val="continue"/>
            <w:textDirection w:val="tbRlV"/>
          </w:tcPr>
          <w:p w14:paraId="54CF3681">
            <w:pPr>
              <w:ind w:left="113" w:right="113"/>
              <w:jc w:val="center"/>
              <w:rPr>
                <w:b/>
                <w:sz w:val="24"/>
              </w:rPr>
            </w:pPr>
          </w:p>
        </w:tc>
        <w:tc>
          <w:tcPr>
            <w:tcW w:w="1251" w:type="dxa"/>
            <w:vMerge w:val="restart"/>
            <w:tcBorders>
              <w:top w:val="single" w:color="auto" w:sz="4" w:space="0"/>
            </w:tcBorders>
            <w:vAlign w:val="center"/>
          </w:tcPr>
          <w:p w14:paraId="2C6ADFA9">
            <w:pPr>
              <w:jc w:val="both"/>
              <w:rPr>
                <w:b/>
                <w:sz w:val="24"/>
              </w:rPr>
            </w:pPr>
            <w:r>
              <w:rPr>
                <w:rFonts w:hint="eastAsia"/>
                <w:b/>
                <w:sz w:val="24"/>
              </w:rPr>
              <w:t>成员</w:t>
            </w:r>
          </w:p>
        </w:tc>
        <w:tc>
          <w:tcPr>
            <w:tcW w:w="911" w:type="dxa"/>
            <w:tcBorders>
              <w:top w:val="single" w:color="auto" w:sz="4" w:space="0"/>
              <w:bottom w:val="single" w:color="auto" w:sz="4" w:space="0"/>
            </w:tcBorders>
            <w:vAlign w:val="center"/>
          </w:tcPr>
          <w:p w14:paraId="1B132658">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陈志栋</w:t>
            </w:r>
          </w:p>
        </w:tc>
        <w:tc>
          <w:tcPr>
            <w:tcW w:w="717" w:type="dxa"/>
            <w:tcBorders>
              <w:top w:val="single" w:color="auto" w:sz="4" w:space="0"/>
              <w:bottom w:val="single" w:color="auto" w:sz="4" w:space="0"/>
              <w:right w:val="single" w:color="auto" w:sz="4" w:space="0"/>
            </w:tcBorders>
            <w:vAlign w:val="center"/>
          </w:tcPr>
          <w:p w14:paraId="48B2D08A">
            <w:pPr>
              <w:jc w:val="both"/>
              <w:rPr>
                <w:rFonts w:hint="default" w:ascii="Times New Roman" w:hAnsi="Times New Roman" w:eastAsia="宋体" w:cs="Times New Roman"/>
                <w:b w:val="0"/>
                <w:bCs/>
                <w:sz w:val="21"/>
                <w:szCs w:val="21"/>
              </w:rPr>
            </w:pPr>
            <w:r>
              <w:rPr>
                <w:rFonts w:hint="eastAsia" w:eastAsia="宋体" w:cs="Times New Roman"/>
                <w:b w:val="0"/>
                <w:bCs/>
                <w:sz w:val="21"/>
                <w:szCs w:val="21"/>
                <w:lang w:val="en-US" w:eastAsia="zh-CN"/>
              </w:rPr>
              <w:t>20</w:t>
            </w:r>
            <w:r>
              <w:rPr>
                <w:rFonts w:hint="default" w:ascii="Times New Roman" w:hAnsi="Times New Roman" w:eastAsia="宋体" w:cs="Times New Roman"/>
                <w:b w:val="0"/>
                <w:bCs/>
                <w:sz w:val="21"/>
                <w:szCs w:val="21"/>
              </w:rPr>
              <w:t>24</w:t>
            </w:r>
          </w:p>
        </w:tc>
        <w:tc>
          <w:tcPr>
            <w:tcW w:w="1003" w:type="dxa"/>
            <w:tcBorders>
              <w:top w:val="single" w:color="auto" w:sz="4" w:space="0"/>
              <w:left w:val="single" w:color="auto" w:sz="4" w:space="0"/>
              <w:bottom w:val="single" w:color="auto" w:sz="4" w:space="0"/>
            </w:tcBorders>
            <w:vAlign w:val="center"/>
          </w:tcPr>
          <w:p w14:paraId="0EF71E6B">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湖北经济学院</w:t>
            </w:r>
          </w:p>
        </w:tc>
        <w:tc>
          <w:tcPr>
            <w:tcW w:w="1608" w:type="dxa"/>
            <w:tcBorders>
              <w:top w:val="single" w:color="auto" w:sz="4" w:space="0"/>
              <w:bottom w:val="single" w:color="auto" w:sz="4" w:space="0"/>
            </w:tcBorders>
            <w:vAlign w:val="center"/>
          </w:tcPr>
          <w:p w14:paraId="3956B202">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信息工程学院/物联网工程</w:t>
            </w:r>
          </w:p>
        </w:tc>
        <w:tc>
          <w:tcPr>
            <w:tcW w:w="1391" w:type="dxa"/>
            <w:tcBorders>
              <w:top w:val="single" w:color="auto" w:sz="4" w:space="0"/>
              <w:bottom w:val="single" w:color="auto" w:sz="4" w:space="0"/>
            </w:tcBorders>
            <w:vAlign w:val="center"/>
          </w:tcPr>
          <w:p w14:paraId="4DF7C6F9">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13612599893</w:t>
            </w:r>
          </w:p>
        </w:tc>
        <w:tc>
          <w:tcPr>
            <w:tcW w:w="2057" w:type="dxa"/>
            <w:tcBorders>
              <w:top w:val="single" w:color="auto" w:sz="4" w:space="0"/>
              <w:bottom w:val="single" w:color="auto" w:sz="4" w:space="0"/>
            </w:tcBorders>
            <w:vAlign w:val="center"/>
          </w:tcPr>
          <w:p w14:paraId="35992CE7">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3613951142@qq.com</w:t>
            </w:r>
          </w:p>
        </w:tc>
      </w:tr>
      <w:tr w14:paraId="07CC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796" w:type="dxa"/>
            <w:vMerge w:val="continue"/>
            <w:textDirection w:val="tbRlV"/>
          </w:tcPr>
          <w:p w14:paraId="04507C7B">
            <w:pPr>
              <w:ind w:left="113" w:right="113"/>
              <w:jc w:val="center"/>
              <w:rPr>
                <w:b/>
                <w:sz w:val="24"/>
              </w:rPr>
            </w:pPr>
          </w:p>
        </w:tc>
        <w:tc>
          <w:tcPr>
            <w:tcW w:w="1251" w:type="dxa"/>
            <w:vMerge w:val="continue"/>
            <w:tcBorders>
              <w:top w:val="single" w:color="auto" w:sz="4" w:space="0"/>
            </w:tcBorders>
            <w:vAlign w:val="center"/>
          </w:tcPr>
          <w:p w14:paraId="1EC43CD9">
            <w:pPr>
              <w:jc w:val="both"/>
              <w:rPr>
                <w:b/>
                <w:sz w:val="24"/>
              </w:rPr>
            </w:pPr>
          </w:p>
        </w:tc>
        <w:tc>
          <w:tcPr>
            <w:tcW w:w="911" w:type="dxa"/>
            <w:tcBorders>
              <w:top w:val="single" w:color="auto" w:sz="4" w:space="0"/>
              <w:bottom w:val="single" w:color="auto" w:sz="4" w:space="0"/>
            </w:tcBorders>
            <w:vAlign w:val="center"/>
          </w:tcPr>
          <w:p w14:paraId="695F1337">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李欣怡</w:t>
            </w:r>
          </w:p>
        </w:tc>
        <w:tc>
          <w:tcPr>
            <w:tcW w:w="717" w:type="dxa"/>
            <w:tcBorders>
              <w:top w:val="single" w:color="auto" w:sz="4" w:space="0"/>
              <w:bottom w:val="single" w:color="auto" w:sz="4" w:space="0"/>
              <w:right w:val="single" w:color="auto" w:sz="4" w:space="0"/>
            </w:tcBorders>
            <w:vAlign w:val="center"/>
          </w:tcPr>
          <w:p w14:paraId="7F7122A2">
            <w:pPr>
              <w:jc w:val="both"/>
              <w:rPr>
                <w:rFonts w:hint="default" w:ascii="Times New Roman" w:hAnsi="Times New Roman" w:eastAsia="宋体" w:cs="Times New Roman"/>
                <w:b w:val="0"/>
                <w:bCs/>
                <w:sz w:val="21"/>
                <w:szCs w:val="21"/>
              </w:rPr>
            </w:pPr>
            <w:r>
              <w:rPr>
                <w:rFonts w:hint="eastAsia" w:eastAsia="宋体" w:cs="Times New Roman"/>
                <w:b w:val="0"/>
                <w:bCs/>
                <w:sz w:val="21"/>
                <w:szCs w:val="21"/>
                <w:lang w:val="en-US" w:eastAsia="zh-CN"/>
              </w:rPr>
              <w:t>20</w:t>
            </w:r>
            <w:r>
              <w:rPr>
                <w:rFonts w:hint="default" w:ascii="Times New Roman" w:hAnsi="Times New Roman" w:eastAsia="宋体" w:cs="Times New Roman"/>
                <w:b w:val="0"/>
                <w:bCs/>
                <w:sz w:val="21"/>
                <w:szCs w:val="21"/>
              </w:rPr>
              <w:t>24</w:t>
            </w:r>
          </w:p>
        </w:tc>
        <w:tc>
          <w:tcPr>
            <w:tcW w:w="1003" w:type="dxa"/>
            <w:tcBorders>
              <w:top w:val="single" w:color="auto" w:sz="4" w:space="0"/>
              <w:left w:val="single" w:color="auto" w:sz="4" w:space="0"/>
              <w:bottom w:val="single" w:color="auto" w:sz="4" w:space="0"/>
            </w:tcBorders>
            <w:vAlign w:val="center"/>
          </w:tcPr>
          <w:p w14:paraId="324A9225">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湖北经济学院</w:t>
            </w:r>
          </w:p>
        </w:tc>
        <w:tc>
          <w:tcPr>
            <w:tcW w:w="1608" w:type="dxa"/>
            <w:tcBorders>
              <w:top w:val="single" w:color="auto" w:sz="4" w:space="0"/>
              <w:bottom w:val="single" w:color="auto" w:sz="4" w:space="0"/>
            </w:tcBorders>
            <w:vAlign w:val="center"/>
          </w:tcPr>
          <w:p w14:paraId="71D5617E">
            <w:pPr>
              <w:jc w:val="both"/>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信息工程学院/物联网工程</w:t>
            </w:r>
          </w:p>
        </w:tc>
        <w:tc>
          <w:tcPr>
            <w:tcW w:w="1391" w:type="dxa"/>
            <w:tcBorders>
              <w:top w:val="single" w:color="auto" w:sz="4" w:space="0"/>
              <w:bottom w:val="single" w:color="auto" w:sz="4" w:space="0"/>
            </w:tcBorders>
            <w:vAlign w:val="center"/>
          </w:tcPr>
          <w:p w14:paraId="220A06A0">
            <w:pPr>
              <w:jc w:val="both"/>
              <w:rPr>
                <w:rFonts w:hint="default" w:ascii="Times New Roman" w:hAnsi="Times New Roman" w:eastAsia="宋体" w:cs="Times New Roman"/>
                <w:b w:val="0"/>
                <w:bCs/>
                <w:sz w:val="21"/>
                <w:szCs w:val="21"/>
                <w:lang w:val="en-US" w:eastAsia="zh-CN"/>
              </w:rPr>
            </w:pPr>
            <w:r>
              <w:rPr>
                <w:rFonts w:hint="eastAsia" w:eastAsia="宋体" w:cs="Times New Roman"/>
                <w:b w:val="0"/>
                <w:bCs/>
                <w:sz w:val="21"/>
                <w:szCs w:val="21"/>
                <w:lang w:val="en-US" w:eastAsia="zh-CN"/>
              </w:rPr>
              <w:t>13409788921</w:t>
            </w:r>
          </w:p>
        </w:tc>
        <w:tc>
          <w:tcPr>
            <w:tcW w:w="2057" w:type="dxa"/>
            <w:tcBorders>
              <w:top w:val="single" w:color="auto" w:sz="4" w:space="0"/>
              <w:bottom w:val="single" w:color="auto" w:sz="4" w:space="0"/>
            </w:tcBorders>
            <w:vAlign w:val="center"/>
          </w:tcPr>
          <w:p w14:paraId="75ACF8AC">
            <w:pPr>
              <w:jc w:val="both"/>
              <w:rPr>
                <w:rFonts w:hint="default" w:ascii="Times New Roman" w:hAnsi="Times New Roman" w:eastAsia="宋体" w:cs="Times New Roman"/>
                <w:b w:val="0"/>
                <w:bCs/>
                <w:sz w:val="21"/>
                <w:szCs w:val="21"/>
                <w:lang w:val="en-US" w:eastAsia="zh-CN"/>
              </w:rPr>
            </w:pPr>
            <w:r>
              <w:rPr>
                <w:rFonts w:hint="eastAsia" w:eastAsia="宋体" w:cs="Times New Roman"/>
                <w:b w:val="0"/>
                <w:bCs/>
                <w:sz w:val="21"/>
                <w:szCs w:val="21"/>
                <w:lang w:val="en-US" w:eastAsia="zh-CN"/>
              </w:rPr>
              <w:t>3359494756@qq.com</w:t>
            </w:r>
          </w:p>
        </w:tc>
      </w:tr>
      <w:tr w14:paraId="2471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3" w:hRule="atLeast"/>
        </w:trPr>
        <w:tc>
          <w:tcPr>
            <w:tcW w:w="796" w:type="dxa"/>
            <w:vMerge w:val="restart"/>
            <w:textDirection w:val="tbRlV"/>
            <w:vAlign w:val="center"/>
          </w:tcPr>
          <w:p w14:paraId="554C2884">
            <w:pPr>
              <w:ind w:left="113" w:right="113"/>
              <w:jc w:val="center"/>
              <w:rPr>
                <w:rFonts w:hint="eastAsia" w:eastAsia="仿宋_GB2312"/>
                <w:b/>
                <w:sz w:val="24"/>
                <w:lang w:val="en-US" w:eastAsia="zh-CN"/>
              </w:rPr>
            </w:pPr>
            <w:r>
              <w:rPr>
                <w:rFonts w:hint="default" w:ascii="Times New Roman" w:hAnsi="Times New Roman" w:cs="Times New Roman"/>
                <w:b/>
                <w:sz w:val="24"/>
              </w:rPr>
              <w:t>指导教师</w:t>
            </w:r>
          </w:p>
        </w:tc>
        <w:tc>
          <w:tcPr>
            <w:tcW w:w="1251" w:type="dxa"/>
            <w:tcBorders>
              <w:top w:val="single" w:color="auto" w:sz="4" w:space="0"/>
              <w:bottom w:val="single" w:color="auto" w:sz="4" w:space="0"/>
            </w:tcBorders>
            <w:vAlign w:val="center"/>
          </w:tcPr>
          <w:p w14:paraId="65BB2405">
            <w:pPr>
              <w:jc w:val="center"/>
              <w:rPr>
                <w:b/>
                <w:sz w:val="24"/>
              </w:rPr>
            </w:pPr>
            <w:r>
              <w:rPr>
                <w:rFonts w:hint="eastAsia"/>
                <w:b/>
                <w:sz w:val="24"/>
              </w:rPr>
              <w:t>姓名</w:t>
            </w:r>
          </w:p>
        </w:tc>
        <w:tc>
          <w:tcPr>
            <w:tcW w:w="1628" w:type="dxa"/>
            <w:gridSpan w:val="2"/>
            <w:tcBorders>
              <w:top w:val="single" w:color="auto" w:sz="4" w:space="0"/>
              <w:bottom w:val="single" w:color="auto" w:sz="4" w:space="0"/>
            </w:tcBorders>
            <w:vAlign w:val="center"/>
          </w:tcPr>
          <w:p w14:paraId="5761CC60">
            <w:pPr>
              <w:jc w:val="center"/>
              <w:rPr>
                <w:b/>
                <w:sz w:val="24"/>
              </w:rPr>
            </w:pPr>
            <w:r>
              <w:rPr>
                <w:rFonts w:hint="eastAsia" w:ascii="宋体" w:hAnsi="宋体" w:eastAsia="宋体" w:cs="宋体"/>
                <w:b w:val="0"/>
                <w:bCs/>
                <w:sz w:val="21"/>
                <w:szCs w:val="21"/>
                <w:lang w:val="en-US" w:eastAsia="zh-CN"/>
              </w:rPr>
              <w:t>宋莺</w:t>
            </w:r>
          </w:p>
        </w:tc>
        <w:tc>
          <w:tcPr>
            <w:tcW w:w="2611" w:type="dxa"/>
            <w:gridSpan w:val="2"/>
            <w:tcBorders>
              <w:top w:val="single" w:color="auto" w:sz="4" w:space="0"/>
              <w:bottom w:val="single" w:color="auto" w:sz="4" w:space="0"/>
            </w:tcBorders>
            <w:vAlign w:val="center"/>
          </w:tcPr>
          <w:p w14:paraId="5DEA62AE">
            <w:pPr>
              <w:jc w:val="center"/>
              <w:rPr>
                <w:b/>
                <w:sz w:val="24"/>
              </w:rPr>
            </w:pPr>
            <w:r>
              <w:rPr>
                <w:rFonts w:hint="eastAsia"/>
                <w:b/>
                <w:sz w:val="24"/>
              </w:rPr>
              <w:t>研究方向</w:t>
            </w:r>
          </w:p>
        </w:tc>
        <w:tc>
          <w:tcPr>
            <w:tcW w:w="3448" w:type="dxa"/>
            <w:gridSpan w:val="2"/>
            <w:tcBorders>
              <w:top w:val="single" w:color="auto" w:sz="4" w:space="0"/>
              <w:bottom w:val="single" w:color="auto" w:sz="4" w:space="0"/>
            </w:tcBorders>
            <w:vAlign w:val="center"/>
          </w:tcPr>
          <w:p w14:paraId="03D884F5">
            <w:pPr>
              <w:jc w:val="center"/>
              <w:rPr>
                <w:b/>
                <w:sz w:val="24"/>
              </w:rPr>
            </w:pPr>
            <w:r>
              <w:rPr>
                <w:rFonts w:hint="eastAsia" w:ascii="宋体" w:hAnsi="宋体" w:eastAsia="宋体" w:cs="宋体"/>
                <w:bCs/>
                <w:sz w:val="21"/>
                <w:szCs w:val="21"/>
              </w:rPr>
              <w:t>计算机应用、嵌入式软件开发</w:t>
            </w:r>
          </w:p>
        </w:tc>
      </w:tr>
      <w:tr w14:paraId="6229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82" w:hRule="atLeast"/>
        </w:trPr>
        <w:tc>
          <w:tcPr>
            <w:tcW w:w="796" w:type="dxa"/>
            <w:vMerge w:val="continue"/>
            <w:textDirection w:val="tbRlV"/>
            <w:vAlign w:val="center"/>
          </w:tcPr>
          <w:p w14:paraId="2A8A9A25">
            <w:pPr>
              <w:ind w:left="113" w:right="113"/>
              <w:jc w:val="center"/>
              <w:rPr>
                <w:b/>
                <w:sz w:val="24"/>
              </w:rPr>
            </w:pPr>
          </w:p>
        </w:tc>
        <w:tc>
          <w:tcPr>
            <w:tcW w:w="1251" w:type="dxa"/>
            <w:tcBorders>
              <w:top w:val="single" w:color="auto" w:sz="4" w:space="0"/>
              <w:bottom w:val="single" w:color="auto" w:sz="4" w:space="0"/>
            </w:tcBorders>
            <w:vAlign w:val="center"/>
          </w:tcPr>
          <w:p w14:paraId="2248412E">
            <w:pPr>
              <w:jc w:val="center"/>
              <w:rPr>
                <w:b/>
                <w:sz w:val="24"/>
              </w:rPr>
            </w:pPr>
            <w:r>
              <w:rPr>
                <w:rFonts w:hint="eastAsia"/>
                <w:b/>
                <w:sz w:val="24"/>
              </w:rPr>
              <w:t>年龄</w:t>
            </w:r>
          </w:p>
        </w:tc>
        <w:tc>
          <w:tcPr>
            <w:tcW w:w="1628" w:type="dxa"/>
            <w:gridSpan w:val="2"/>
            <w:tcBorders>
              <w:top w:val="single" w:color="auto" w:sz="4" w:space="0"/>
              <w:bottom w:val="single" w:color="auto" w:sz="4" w:space="0"/>
            </w:tcBorders>
            <w:vAlign w:val="center"/>
          </w:tcPr>
          <w:p w14:paraId="48F93CFB">
            <w:pPr>
              <w:jc w:val="center"/>
              <w:rPr>
                <w:rFonts w:hint="default"/>
                <w:b/>
                <w:sz w:val="24"/>
                <w:lang w:val="en-US"/>
              </w:rPr>
            </w:pPr>
            <w:r>
              <w:rPr>
                <w:rFonts w:hint="eastAsia" w:ascii="宋体" w:hAnsi="宋体" w:eastAsia="宋体" w:cs="宋体"/>
                <w:b w:val="0"/>
                <w:bCs/>
                <w:sz w:val="21"/>
                <w:szCs w:val="21"/>
                <w:lang w:val="en-US" w:eastAsia="zh-CN"/>
              </w:rPr>
              <w:t>50</w:t>
            </w:r>
          </w:p>
        </w:tc>
        <w:tc>
          <w:tcPr>
            <w:tcW w:w="2611" w:type="dxa"/>
            <w:gridSpan w:val="2"/>
            <w:tcBorders>
              <w:top w:val="single" w:color="auto" w:sz="4" w:space="0"/>
              <w:bottom w:val="single" w:color="auto" w:sz="4" w:space="0"/>
            </w:tcBorders>
            <w:vAlign w:val="center"/>
          </w:tcPr>
          <w:p w14:paraId="1CA536A9">
            <w:pPr>
              <w:jc w:val="center"/>
              <w:rPr>
                <w:b/>
                <w:sz w:val="24"/>
              </w:rPr>
            </w:pPr>
            <w:r>
              <w:rPr>
                <w:rFonts w:hint="eastAsia"/>
                <w:b/>
                <w:sz w:val="24"/>
              </w:rPr>
              <w:t>行政职务/专业技术职务</w:t>
            </w:r>
          </w:p>
        </w:tc>
        <w:tc>
          <w:tcPr>
            <w:tcW w:w="3448" w:type="dxa"/>
            <w:gridSpan w:val="2"/>
            <w:tcBorders>
              <w:top w:val="single" w:color="auto" w:sz="4" w:space="0"/>
              <w:bottom w:val="single" w:color="auto" w:sz="4" w:space="0"/>
            </w:tcBorders>
            <w:vAlign w:val="center"/>
          </w:tcPr>
          <w:p w14:paraId="092EC432">
            <w:pPr>
              <w:jc w:val="center"/>
              <w:rPr>
                <w:b/>
                <w:sz w:val="24"/>
              </w:rPr>
            </w:pPr>
            <w:r>
              <w:rPr>
                <w:rFonts w:hint="eastAsia" w:ascii="宋体" w:hAnsi="宋体" w:eastAsia="宋体" w:cs="宋体"/>
                <w:bCs/>
                <w:sz w:val="21"/>
                <w:szCs w:val="21"/>
              </w:rPr>
              <w:t>计算机科学与技术系主任/教授</w:t>
            </w:r>
          </w:p>
        </w:tc>
      </w:tr>
      <w:tr w14:paraId="35BC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796" w:type="dxa"/>
            <w:vMerge w:val="continue"/>
            <w:textDirection w:val="tbRlV"/>
            <w:vAlign w:val="center"/>
          </w:tcPr>
          <w:p w14:paraId="67868942">
            <w:pPr>
              <w:ind w:left="113" w:right="113"/>
              <w:jc w:val="center"/>
              <w:rPr>
                <w:b/>
                <w:sz w:val="24"/>
              </w:rPr>
            </w:pPr>
          </w:p>
        </w:tc>
        <w:tc>
          <w:tcPr>
            <w:tcW w:w="1251" w:type="dxa"/>
            <w:tcBorders>
              <w:top w:val="single" w:color="auto" w:sz="4" w:space="0"/>
              <w:bottom w:val="single" w:color="auto" w:sz="4" w:space="0"/>
            </w:tcBorders>
            <w:vAlign w:val="center"/>
          </w:tcPr>
          <w:p w14:paraId="2F4CA0B7">
            <w:pPr>
              <w:jc w:val="center"/>
              <w:rPr>
                <w:b/>
                <w:sz w:val="24"/>
              </w:rPr>
            </w:pPr>
            <w:r>
              <w:rPr>
                <w:rFonts w:hint="eastAsia"/>
                <w:b/>
                <w:sz w:val="24"/>
              </w:rPr>
              <w:t>主要成果</w:t>
            </w:r>
          </w:p>
        </w:tc>
        <w:tc>
          <w:tcPr>
            <w:tcW w:w="7687" w:type="dxa"/>
            <w:gridSpan w:val="6"/>
            <w:tcBorders>
              <w:top w:val="single" w:color="auto" w:sz="4" w:space="0"/>
              <w:bottom w:val="single" w:color="auto" w:sz="4" w:space="0"/>
            </w:tcBorders>
            <w:vAlign w:val="top"/>
          </w:tcPr>
          <w:p w14:paraId="76133302">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主持完成了湖北省自然科学基金项目1项、湖北省教育厅科研项目2项、湖北省教育科学规划课题2项、湖北省教学研究项目2项；参与了相关领域的国家863计划项目2项、国家自然科学基金项目2项、国家社会科学基金项目2项、湖北省高等学校优秀中青年科技创新团队资助计划项目1项。研究成果在《IEEE Internet of Things Journal》、《IEEE Access》、《Wireless Personal Communications》、《计算机科学》、《华中科技大学学报(自然科学版)》、《武汉大学学报信息科学版》、《计算机工程》、《计算机系统应用》等国内外重要专业学术期刊及国际学术会议上发表学术论文40余篇，其中被SCI，EI检索系统收录论文10余篇（次），获发明专利3项，出版学术专著</w:t>
            </w:r>
            <w:r>
              <w:rPr>
                <w:rFonts w:hint="eastAsia" w:eastAsia="宋体" w:cs="Times New Roman"/>
                <w:bCs/>
                <w:sz w:val="21"/>
                <w:szCs w:val="21"/>
                <w:lang w:val="en-US" w:eastAsia="zh-CN"/>
              </w:rPr>
              <w:t>2</w:t>
            </w:r>
            <w:r>
              <w:rPr>
                <w:rFonts w:hint="default" w:ascii="Times New Roman" w:hAnsi="Times New Roman" w:eastAsia="宋体" w:cs="Times New Roman"/>
                <w:bCs/>
                <w:sz w:val="21"/>
                <w:szCs w:val="21"/>
              </w:rPr>
              <w:t>部。指导本科生毕业设计（论文）获省级优秀论文1篇，校级优秀论文5篇，指导国家级大学生创新训练项目</w:t>
            </w:r>
            <w:r>
              <w:rPr>
                <w:rFonts w:hint="eastAsia" w:eastAsia="宋体" w:cs="Times New Roman"/>
                <w:bCs/>
                <w:sz w:val="21"/>
                <w:szCs w:val="21"/>
                <w:lang w:val="en-US" w:eastAsia="zh-CN"/>
              </w:rPr>
              <w:t>2</w:t>
            </w:r>
            <w:r>
              <w:rPr>
                <w:rFonts w:hint="default" w:ascii="Times New Roman" w:hAnsi="Times New Roman" w:eastAsia="宋体" w:cs="Times New Roman"/>
                <w:bCs/>
                <w:sz w:val="21"/>
                <w:szCs w:val="21"/>
              </w:rPr>
              <w:t>项，省级项目2项、校级</w:t>
            </w:r>
            <w:r>
              <w:rPr>
                <w:rFonts w:hint="eastAsia" w:eastAsia="宋体" w:cs="Times New Roman"/>
                <w:bCs/>
                <w:sz w:val="21"/>
                <w:szCs w:val="21"/>
                <w:lang w:val="en-US" w:eastAsia="zh-CN"/>
              </w:rPr>
              <w:t>6</w:t>
            </w:r>
            <w:r>
              <w:rPr>
                <w:rFonts w:hint="default" w:ascii="Times New Roman" w:hAnsi="Times New Roman" w:eastAsia="宋体" w:cs="Times New Roman"/>
                <w:bCs/>
                <w:sz w:val="21"/>
                <w:szCs w:val="21"/>
              </w:rPr>
              <w:t>项均已结题。指导学生学科竞赛多次获国家级、省级奖项，对本项目研究有着相当大的借鉴意义。</w:t>
            </w:r>
          </w:p>
          <w:p w14:paraId="196BD0FD">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sz w:val="21"/>
                <w:szCs w:val="21"/>
              </w:rPr>
            </w:pPr>
            <w:r>
              <w:rPr>
                <w:rFonts w:hint="eastAsia" w:eastAsia="宋体" w:cs="Times New Roman"/>
                <w:b/>
                <w:sz w:val="21"/>
                <w:szCs w:val="21"/>
                <w:lang w:val="en-US" w:eastAsia="zh-CN"/>
              </w:rPr>
              <w:t>主要</w:t>
            </w:r>
            <w:r>
              <w:rPr>
                <w:rFonts w:hint="default" w:ascii="Times New Roman" w:hAnsi="Times New Roman" w:eastAsia="宋体" w:cs="Times New Roman"/>
                <w:b/>
                <w:sz w:val="21"/>
                <w:szCs w:val="21"/>
              </w:rPr>
              <w:t>主持的项目：</w:t>
            </w:r>
          </w:p>
          <w:p w14:paraId="1BB0FAA1">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1）湖北省自然科学基金计划项目，基于网络编码的移动金融支付数据的快速传 输算法研究（项目编号 2018CFB661）</w:t>
            </w:r>
          </w:p>
          <w:p w14:paraId="63FE00E2">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2）湖北省教育厅哲学社会科学研究项目，基于区块链技术的金融科技风险及其 监管机制研究（项目编号 20D074）</w:t>
            </w:r>
          </w:p>
          <w:p w14:paraId="6C3ABAE4">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3）湖北省高等学校省级教学改革研究项目 2 项，新工科背景下“金融科技”人才培 养模式研究（项目编号 2020573）；面向新工科的 OBE 理念与协同创新结合的实践教 育改革研究（项目编号 2017535）</w:t>
            </w:r>
          </w:p>
          <w:p w14:paraId="04884BD9">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4）湖北省教育厅科研项目，城市动态交通信息的时空模型及关键技术研究 (项目 编号 Q20121906)</w:t>
            </w:r>
          </w:p>
          <w:p w14:paraId="65949D34">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5）湖北省教育厅科研项目，面向动态导航交通信息地图表达与可视化研究 (项目 编号 B20102202).</w:t>
            </w:r>
          </w:p>
          <w:p w14:paraId="1D30B90A">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6）湖北省教育科学“十三五”规划专项资助重点项目(项目编号:2017ZA016)，湖北 省教育科学“十二五”规划课题（项目编号 2013B128）</w:t>
            </w:r>
          </w:p>
          <w:p w14:paraId="55352D5A">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代表性论文：</w:t>
            </w:r>
          </w:p>
          <w:p w14:paraId="40795622">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[1]Ying Song, Chaohao Sun, Wangyi Feng, Hongwei Luo and Baolin Sun(通讯作者). Cubic Permutation Polynomial-based Sliding Window Network Coding Algorithm in IoT. IEEE Internet of Things Journal, 2023, 10(21): 19234-19243, SCI收录,中国科学院一区期刊</w:t>
            </w:r>
          </w:p>
          <w:p w14:paraId="71F6A297">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[2]Ying  Song,  Research   on  Multi-Dimensional  Trust  Evaluation  Mechanism  of FinTech Based on Blockchain IEEE Access, 2022, 10:57025-57036   JCR 2 区, SCI 收录</w:t>
            </w:r>
          </w:p>
          <w:p w14:paraId="1E0B6CD2">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[3]Ying Song, Hongwei Luo, Shangchao Pi*, Chao Gui, Baolin Sun*, Graph Kernel Based Clustering Algorithm in MANETs, IEEE Access, 2020, 8:107650-107660. JCR 1 区, SCI、EI  收录</w:t>
            </w:r>
          </w:p>
          <w:p w14:paraId="25211CCF">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[4]宋莺，钟忺，孙宝林，桂超. MANET 中基于滑动窗口的网络编码协作算法.计算机科学. 2020, 47(11): 322-326.</w:t>
            </w:r>
          </w:p>
          <w:p w14:paraId="0FEC05F4">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[5]Ying Song, Chao Gui, Xiaocheng Lu, Hua Chen, Baolin Sun. A Genetic Algorithm forEnergy-Efficient based Multipath Routing in Wireless Sensor Networks. Wireless Personal Communications, 2015, 85(4): 2055-2066, SCI、EI  收录</w:t>
            </w:r>
          </w:p>
          <w:p w14:paraId="04436DA6">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[6]宋莺，孙宝林等. Ad Hoc 网络路由协议的性能分析与比较.  华中科技大学学 报(自然科学版).2013,41:172-175.  EI 收录</w:t>
            </w:r>
          </w:p>
          <w:p w14:paraId="71517D91">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学术专著：</w:t>
            </w:r>
          </w:p>
          <w:p w14:paraId="10E79EEE">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[1]宋莺,孙宝林.  移动金融支付的风险模型及评价机制. 中国金融出版社，2020 年</w:t>
            </w:r>
          </w:p>
          <w:p w14:paraId="3F092D16">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[2]宋莺等.金融科技中基于区块链的数字信任评价机制研究.东北财经大学出版,2025年</w:t>
            </w:r>
          </w:p>
          <w:p w14:paraId="493B8163">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发明专利：</w:t>
            </w:r>
          </w:p>
          <w:p w14:paraId="6DDB7AF3">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[1]一种基于网络编码的移动金融支付数据的快速传输方法（专利号：ZL 201811321388.X，授权时间：2022-04-12）</w:t>
            </w:r>
          </w:p>
          <w:p w14:paraId="2C07A5CE">
            <w:pPr>
              <w:keepNext w:val="0"/>
              <w:keepLines w:val="0"/>
              <w:pageBreakBefore w:val="0"/>
              <w:widowControl w:val="0"/>
              <w:kinsoku/>
              <w:wordWrap/>
              <w:overflowPunct/>
              <w:topLinePunct w:val="0"/>
              <w:autoSpaceDE/>
              <w:autoSpaceDN/>
              <w:bidi w:val="0"/>
              <w:adjustRightInd/>
              <w:snapToGrid w:val="0"/>
              <w:spacing w:line="360" w:lineRule="exact"/>
              <w:ind w:firstLine="412" w:firstLineChars="200"/>
              <w:textAlignment w:val="auto"/>
              <w:rPr>
                <w:b/>
                <w:szCs w:val="21"/>
              </w:rPr>
            </w:pPr>
            <w:r>
              <w:rPr>
                <w:rFonts w:hint="default" w:ascii="Times New Roman" w:hAnsi="Times New Roman" w:eastAsia="宋体" w:cs="Times New Roman"/>
                <w:b w:val="0"/>
                <w:bCs/>
                <w:sz w:val="21"/>
                <w:szCs w:val="21"/>
              </w:rPr>
              <w:t>[2].一种基于二次置换多项式的滑动窗口网络编码方法（专利号:ZL201811362272.0, 授权时间：2021-07-06）</w:t>
            </w:r>
          </w:p>
        </w:tc>
      </w:tr>
      <w:tr w14:paraId="5C74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3" w:hRule="atLeast"/>
        </w:trPr>
        <w:tc>
          <w:tcPr>
            <w:tcW w:w="9734" w:type="dxa"/>
            <w:gridSpan w:val="8"/>
            <w:vAlign w:val="top"/>
          </w:tcPr>
          <w:p w14:paraId="29B2D42A">
            <w:pPr>
              <w:pStyle w:val="21"/>
              <w:keepNext w:val="0"/>
              <w:keepLines w:val="0"/>
              <w:pageBreakBefore w:val="0"/>
              <w:widowControl w:val="0"/>
              <w:kinsoku/>
              <w:wordWrap/>
              <w:overflowPunct/>
              <w:topLinePunct w:val="0"/>
              <w:autoSpaceDE/>
              <w:autoSpaceDN/>
              <w:bidi w:val="0"/>
              <w:adjustRightInd/>
              <w:snapToGrid/>
              <w:spacing w:after="307" w:afterLines="50"/>
              <w:textAlignment w:val="auto"/>
              <w:rPr>
                <w:rFonts w:hint="default" w:ascii="Times New Roman" w:hAnsi="Times New Roman" w:cs="Times New Roman"/>
              </w:rPr>
            </w:pPr>
            <w:r>
              <w:rPr>
                <w:rFonts w:hint="default" w:ascii="Times New Roman" w:hAnsi="Times New Roman" w:cs="Times New Roman"/>
              </w:rPr>
              <w:t>一、项目实施的目的、意义</w:t>
            </w:r>
          </w:p>
          <w:p w14:paraId="4C821C4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快节奏的现代都市生活中，宠物已经成为许多独居青年和上班族不可或缺的情感寄托。然而，一个不可忽视的现状是：主人们白天大多需要离家工作8到10个小时，这漫长的白天里，宠物只能独自面对空荡荡的房间。长期的孤独不仅剥夺了它们本该活跃的天性，更容易引发分离焦虑，导致宠物出现持续吠叫、破坏家具甚至精神萎靡等异常行为。尽管市面上已经存在自动喂食器或定点监控摄像头，但这些冷冰冰的设备只能满足宠物最基本的生理需求，无法提供动态的陪伴与互动。针对这一普遍的养宠痛点，本项目拟设计并实现一款“灵眸伴宠”智能伴随机器人。通过引入视觉识别与环境感知技术，让机器人在主人外出时充当宠物的“玩伴”，实现主动寻找、动态跟随与趣味互动，从而有效缓解宠物的心理压力。</w:t>
            </w:r>
          </w:p>
          <w:p w14:paraId="3683EBDF">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此同时，目前市场上具备自主跟随功能的宠物机器人往往定位高端，动辄数千元的价格让许多普通养宠家庭望而却步。高昂的成本主要源于过度冗余的算力堆砌和昂贵的硬件方案。为了让智能陪伴真正走进千家万户，本项目</w:t>
            </w:r>
            <w:r>
              <w:rPr>
                <w:rFonts w:hint="default" w:ascii="Times New Roman" w:hAnsi="Times New Roman" w:eastAsia="宋体" w:cs="Times New Roman"/>
                <w:b/>
                <w:bCs/>
                <w:sz w:val="24"/>
                <w:szCs w:val="24"/>
              </w:rPr>
              <w:t>确立了“低成本、轻量化”的核心研发路线</w:t>
            </w:r>
            <w:r>
              <w:rPr>
                <w:rFonts w:hint="default" w:ascii="Times New Roman" w:hAnsi="Times New Roman" w:eastAsia="宋体" w:cs="Times New Roman"/>
                <w:sz w:val="24"/>
                <w:szCs w:val="24"/>
              </w:rPr>
              <w:t>。我们采用性价比极高的STM32单片机作为核心控制器，结合精简的多传感器融合算法，力求在保障核心跟随与避障功能的前提下，</w:t>
            </w:r>
            <w:r>
              <w:rPr>
                <w:rFonts w:hint="default" w:ascii="Times New Roman" w:hAnsi="Times New Roman" w:eastAsia="宋体" w:cs="Times New Roman"/>
                <w:sz w:val="24"/>
                <w:szCs w:val="24"/>
              </w:rPr>
              <w:t>严控</w:t>
            </w:r>
            <w:r>
              <w:rPr>
                <w:rFonts w:hint="default" w:ascii="Times New Roman" w:hAnsi="Times New Roman" w:eastAsia="宋体" w:cs="Times New Roman"/>
                <w:sz w:val="24"/>
                <w:szCs w:val="24"/>
              </w:rPr>
              <w:t>整机物料成本，提升大众养宠的幸福感。</w:t>
            </w:r>
          </w:p>
          <w:p w14:paraId="7DFC8B32">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不仅如此，“灵眸伴宠”的研发过程本身也是一次工程实践。团队成员需要将课堂上学到的微机原理、PID控制算法、传感器集成等理论知识融会贯通，在解决低算力平台下图像识别卡顿、复杂路线避障等真实技术难题的过程中，完成从理论学习到产品落地的蜕变，具有深厚的育人与实践意义。</w:t>
            </w:r>
          </w:p>
          <w:p w14:paraId="689879D0">
            <w:pPr>
              <w:pStyle w:val="21"/>
              <w:keepNext w:val="0"/>
              <w:keepLines w:val="0"/>
              <w:pageBreakBefore w:val="0"/>
              <w:widowControl w:val="0"/>
              <w:kinsoku/>
              <w:wordWrap/>
              <w:overflowPunct/>
              <w:topLinePunct w:val="0"/>
              <w:autoSpaceDE/>
              <w:autoSpaceDN/>
              <w:bidi w:val="0"/>
              <w:adjustRightInd/>
              <w:snapToGrid/>
              <w:spacing w:after="307" w:afterLines="50"/>
              <w:textAlignment w:val="auto"/>
              <w:rPr>
                <w:rFonts w:hint="default"/>
              </w:rPr>
            </w:pPr>
            <w:r>
              <w:rPr>
                <w:rFonts w:hint="default"/>
              </w:rPr>
              <w:t>二、项目研究内容和拟解决的关键问题</w:t>
            </w:r>
          </w:p>
          <w:p w14:paraId="42FED6F0">
            <w:pPr>
              <w:pStyle w:val="22"/>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rPr>
            </w:pPr>
            <w:r>
              <w:rPr>
                <w:rFonts w:hint="eastAsia"/>
                <w:lang w:eastAsia="zh-CN"/>
              </w:rPr>
              <w:t>（</w:t>
            </w:r>
            <w:r>
              <w:rPr>
                <w:rFonts w:hint="eastAsia"/>
                <w:lang w:val="en-US" w:eastAsia="zh-CN"/>
              </w:rPr>
              <w:t>一）</w:t>
            </w:r>
            <w:r>
              <w:rPr>
                <w:rFonts w:hint="default"/>
              </w:rPr>
              <w:t>项目内容</w:t>
            </w:r>
          </w:p>
          <w:p w14:paraId="0B6C83A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设计是一种基于多传感器融合与轻量化嵌入式技术的自主伴随宠物式机器人。利用机器视觉与环境感知技术，可以使机器人主动识别并追踪宠物，从而在主人外出时提供动态的物理与视觉陪伴。将机器人与家庭Wi-Fi网络进行连接，使设备可以获取用户的远程控制指令，并及时反馈宠物的动态画面与环境状态，以提高全天候交互的便捷性。通过利用无线通信、PID闭环控制与多维传感器阵列，对机器人本体进行软硬件协同设计，实现对室内复杂环境、障碍物的精准识别与规避；同时配合声光模块与隐藏式喂食机构，让宠物主人更加便捷地进行远程智能看护，极大提高宠物独自在家时的安全性与趣味性。</w:t>
            </w:r>
          </w:p>
          <w:p w14:paraId="421AAF4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主要由STM32微控制器作为控制核心、多传感器融合感知技术、信息采集模块、数据处理模块、运动与交互模块组成。机器人以STM32单片机为枢纽调度各个外设模块。信息采集模块包含视觉目标识别、超声波测距避障、红外辅助感知；数据处理模块包含自适应跟随算法、动态避障逻辑判断；运动与交互模块包含底盘差分驱动、声光表情显示、APP远程通信。系统体系架构见</w:t>
            </w:r>
            <w:r>
              <w:rPr>
                <w:rFonts w:hint="default" w:ascii="Times New Roman" w:hAnsi="Times New Roman" w:eastAsia="宋体" w:cs="Times New Roman"/>
                <w:sz w:val="24"/>
                <w:szCs w:val="24"/>
                <w:lang w:val="en-US"/>
              </w:rPr>
              <w:fldChar w:fldCharType="begin"/>
            </w:r>
            <w:r>
              <w:rPr>
                <w:rFonts w:hint="default" w:ascii="Times New Roman" w:hAnsi="Times New Roman" w:cs="Times New Roman"/>
                <w:sz w:val="24"/>
                <w:szCs w:val="24"/>
              </w:rPr>
              <w:instrText xml:space="preserve"> REF _Ref21947 \h  \* MERGEFORMAT</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rPr>
              <w:t>图 1</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05405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632450" cy="2986405"/>
                  <wp:effectExtent l="0" t="0" r="0" b="0"/>
                  <wp:docPr id="3" name="图片 3"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架构图"/>
                          <pic:cNvPicPr>
                            <a:picLocks noChangeAspect="1"/>
                          </pic:cNvPicPr>
                        </pic:nvPicPr>
                        <pic:blipFill>
                          <a:blip r:embed="rId5"/>
                          <a:srcRect t="5752"/>
                          <a:stretch>
                            <a:fillRect/>
                          </a:stretch>
                        </pic:blipFill>
                        <pic:spPr>
                          <a:xfrm>
                            <a:off x="0" y="0"/>
                            <a:ext cx="5632450" cy="2986405"/>
                          </a:xfrm>
                          <a:prstGeom prst="rect">
                            <a:avLst/>
                          </a:prstGeom>
                        </pic:spPr>
                      </pic:pic>
                    </a:graphicData>
                  </a:graphic>
                </wp:inline>
              </w:drawing>
            </w:r>
          </w:p>
          <w:p w14:paraId="2B9C0A1C">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仿宋_GB2312" w:cs="Times New Roman"/>
                <w:sz w:val="24"/>
                <w:szCs w:val="24"/>
                <w:lang w:eastAsia="zh-CN"/>
              </w:rPr>
            </w:pPr>
            <w:bookmarkStart w:id="0" w:name="_Ref21947"/>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w:t>
            </w:r>
            <w:r>
              <w:rPr>
                <w:sz w:val="24"/>
                <w:szCs w:val="24"/>
              </w:rPr>
              <w:fldChar w:fldCharType="end"/>
            </w:r>
            <w:bookmarkEnd w:id="0"/>
            <w:r>
              <w:rPr>
                <w:rFonts w:hint="eastAsia"/>
                <w:sz w:val="24"/>
                <w:szCs w:val="24"/>
                <w:lang w:eastAsia="zh-CN"/>
              </w:rPr>
              <w:t xml:space="preserve"> 系统体系架构图</w:t>
            </w:r>
          </w:p>
          <w:p w14:paraId="4E00B119">
            <w:pPr>
              <w:pStyle w:val="23"/>
              <w:bidi w:val="0"/>
              <w:rPr>
                <w:rFonts w:hint="default"/>
                <w:lang w:val="en-US"/>
              </w:rPr>
            </w:pPr>
            <w:r>
              <w:rPr>
                <w:rFonts w:hint="default"/>
              </w:rPr>
              <w:t>1、</w:t>
            </w:r>
            <w:r>
              <w:rPr>
                <w:rFonts w:hint="eastAsia"/>
                <w:lang w:val="en-US" w:eastAsia="zh-CN"/>
              </w:rPr>
              <w:t>多模态感知模块</w:t>
            </w:r>
          </w:p>
          <w:p w14:paraId="283FE8E3">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eastAsia" w:eastAsia="宋体" w:cs="Times New Roman"/>
                <w:sz w:val="24"/>
                <w:szCs w:val="24"/>
                <w:lang w:val="en-US" w:eastAsia="zh-CN"/>
              </w:rPr>
              <w:t>多模态感知</w:t>
            </w:r>
            <w:r>
              <w:rPr>
                <w:rFonts w:hint="default" w:ascii="Times New Roman" w:hAnsi="Times New Roman" w:eastAsia="宋体" w:cs="Times New Roman"/>
                <w:sz w:val="24"/>
                <w:szCs w:val="24"/>
              </w:rPr>
              <w:t>包含三个部分，分别是视觉目标识别、超声波检测障碍、红外辅助感知。</w:t>
            </w:r>
          </w:p>
          <w:p w14:paraId="18B1850B">
            <w:pPr>
              <w:pStyle w:val="23"/>
              <w:bidi w:val="0"/>
              <w:rPr>
                <w:rFonts w:hint="default"/>
              </w:rPr>
            </w:pPr>
            <w:r>
              <w:rPr>
                <w:rFonts w:hint="default"/>
              </w:rPr>
              <w:t>（1）视觉目标识别</w:t>
            </w:r>
          </w:p>
          <w:p w14:paraId="5006DB0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识别原理：通过视觉协处理器搭载的摄像头模块采集环境图像帧，在内部运行轻量化的目标检测算法提取宠物的特征轮廓。当检测到目标后，迅速计算出宠物在画面中的坐标偏移量，并通过串口将位置信息高速传送给主控芯片。</w:t>
            </w:r>
          </w:p>
          <w:p w14:paraId="6E867F0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传感器是机器人的“眼睛”，用于检测室内宠物的具体方位与活动状态。本设计采用OpenMV或K210视觉识别模块。该模块自带边缘算力，能够独立完成繁重的图像处理工作，有效弥补了单一STM32主控处理视频流算力不足的缺陷，实现真正的“算力卸载”，是实现机器人高响应、精准跟随的核心部件。</w:t>
            </w:r>
            <w:r>
              <w:rPr>
                <w:rFonts w:hint="default" w:ascii="Times New Roman" w:hAnsi="Times New Roman" w:eastAsia="宋体" w:cs="Times New Roman"/>
                <w:color w:val="000000" w:themeColor="text1"/>
                <w:sz w:val="24"/>
                <w:szCs w:val="24"/>
                <w14:textFill>
                  <w14:solidFill>
                    <w14:schemeClr w14:val="tx1"/>
                  </w14:solidFill>
                </w14:textFill>
              </w:rPr>
              <w:t>视觉识别模块硬件连接示意图</w:t>
            </w:r>
            <w:r>
              <w:rPr>
                <w:rFonts w:hint="eastAsia" w:ascii="宋体" w:hAnsi="宋体" w:eastAsia="宋体" w:cs="宋体"/>
                <w:b w:val="0"/>
                <w:bCs/>
                <w:sz w:val="24"/>
                <w:szCs w:val="24"/>
                <w:lang w:val="en-US" w:eastAsia="zh-CN"/>
              </w:rPr>
              <w:t>如图2所示。</w:t>
            </w:r>
          </w:p>
          <w:p w14:paraId="3D11D6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440680" cy="882650"/>
                  <wp:effectExtent l="0" t="0" r="0" b="0"/>
                  <wp:docPr id="4" name="图片 4" descr="视觉识别模块硬件连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视觉识别模块硬件连接图"/>
                          <pic:cNvPicPr>
                            <a:picLocks noChangeAspect="1"/>
                          </pic:cNvPicPr>
                        </pic:nvPicPr>
                        <pic:blipFill>
                          <a:blip r:embed="rId6"/>
                          <a:srcRect l="3405" t="15010" b="57134"/>
                          <a:stretch>
                            <a:fillRect/>
                          </a:stretch>
                        </pic:blipFill>
                        <pic:spPr>
                          <a:xfrm>
                            <a:off x="0" y="0"/>
                            <a:ext cx="5440680" cy="882650"/>
                          </a:xfrm>
                          <a:prstGeom prst="rect">
                            <a:avLst/>
                          </a:prstGeom>
                        </pic:spPr>
                      </pic:pic>
                    </a:graphicData>
                  </a:graphic>
                </wp:inline>
              </w:drawing>
            </w:r>
          </w:p>
          <w:p w14:paraId="7FF5973C">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sz w:val="24"/>
                <w:szCs w:val="24"/>
                <w:lang w:val="en-US" w:eastAsia="zh-CN"/>
              </w:rPr>
              <w:t xml:space="preserve">图2 </w:t>
            </w:r>
            <w:r>
              <w:rPr>
                <w:rFonts w:hint="default"/>
                <w:sz w:val="24"/>
                <w:szCs w:val="24"/>
                <w:lang w:eastAsia="zh-CN"/>
              </w:rPr>
              <w:t>视觉识别模块硬件连接示意图</w:t>
            </w:r>
          </w:p>
          <w:p w14:paraId="461D2D6C">
            <w:pPr>
              <w:pStyle w:val="23"/>
              <w:bidi w:val="0"/>
              <w:rPr>
                <w:rFonts w:hint="default"/>
              </w:rPr>
            </w:pPr>
            <w:r>
              <w:rPr>
                <w:rFonts w:hint="default"/>
              </w:rPr>
              <w:t>（2）超声波检测障碍</w:t>
            </w:r>
          </w:p>
          <w:p w14:paraId="0F5887B1">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测距原理：由超声波发射单元定向发出超声波信号，信号发射瞬间同步启动计时。声波在空气介质中传播，接触障碍物后发生反射，当接收单元捕获回波信号时即刻终止计时。结合计时所得的传播时长，即可精准测算出传感器与障碍物之间的直线距离。</w:t>
            </w:r>
          </w:p>
          <w:p w14:paraId="2E4AA218">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超声波传感单元是机器人避障体系的核心检测模块。本方案在机器人底盘前端环形支架上分布式布设多组HC-SR04超声波传感器，并搭配侧边安装的夏普GP2Y1010AU0F红外测距传感器。两类传感器协同工作，既可构建全域障碍物距离数据矩阵，又能弥补超声波在10厘米以内近距检测的盲区缺陷，最终完成360°全范围多源数据融合，实现机器人对周边环境的立体化感知。多传感器避障拓扑图</w:t>
            </w:r>
            <w:r>
              <w:rPr>
                <w:rFonts w:hint="eastAsia" w:ascii="宋体" w:hAnsi="宋体" w:eastAsia="宋体" w:cs="宋体"/>
                <w:b w:val="0"/>
                <w:bCs/>
                <w:sz w:val="24"/>
                <w:szCs w:val="24"/>
                <w:lang w:val="en-US" w:eastAsia="zh-CN"/>
              </w:rPr>
              <w:t>如图3所示。</w:t>
            </w:r>
          </w:p>
          <w:p w14:paraId="459843A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328920" cy="1872615"/>
                  <wp:effectExtent l="0" t="0" r="0" b="0"/>
                  <wp:docPr id="5" name="图片 5" descr="多传感器避障拓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多传感器避障拓扑图"/>
                          <pic:cNvPicPr>
                            <a:picLocks noChangeAspect="1"/>
                          </pic:cNvPicPr>
                        </pic:nvPicPr>
                        <pic:blipFill>
                          <a:blip r:embed="rId7"/>
                          <a:srcRect l="2537" t="9900" r="2852" b="31002"/>
                          <a:stretch>
                            <a:fillRect/>
                          </a:stretch>
                        </pic:blipFill>
                        <pic:spPr>
                          <a:xfrm>
                            <a:off x="0" y="0"/>
                            <a:ext cx="5328920" cy="1872615"/>
                          </a:xfrm>
                          <a:prstGeom prst="rect">
                            <a:avLst/>
                          </a:prstGeom>
                        </pic:spPr>
                      </pic:pic>
                    </a:graphicData>
                  </a:graphic>
                </wp:inline>
              </w:drawing>
            </w:r>
          </w:p>
          <w:p w14:paraId="0EC948BF">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eastAsia"/>
                <w:sz w:val="24"/>
                <w:szCs w:val="24"/>
                <w:lang w:val="en-US" w:eastAsia="zh-CN"/>
              </w:rPr>
              <w:t xml:space="preserve">图3 </w:t>
            </w:r>
            <w:r>
              <w:rPr>
                <w:rFonts w:hint="default"/>
                <w:sz w:val="24"/>
                <w:szCs w:val="24"/>
                <w:lang w:val="en-US" w:eastAsia="zh-CN"/>
              </w:rPr>
              <w:t>多传感器避障拓扑图</w:t>
            </w:r>
          </w:p>
          <w:p w14:paraId="7660D298">
            <w:pPr>
              <w:pStyle w:val="23"/>
              <w:bidi w:val="0"/>
              <w:rPr>
                <w:rFonts w:hint="default"/>
              </w:rPr>
            </w:pPr>
            <w:r>
              <w:rPr>
                <w:rFonts w:hint="eastAsia"/>
                <w:lang w:eastAsia="zh-CN"/>
              </w:rPr>
              <w:t>（</w:t>
            </w:r>
            <w:r>
              <w:rPr>
                <w:rFonts w:hint="eastAsia"/>
                <w:lang w:val="en-US" w:eastAsia="zh-CN"/>
              </w:rPr>
              <w:t>3）</w:t>
            </w:r>
            <w:r>
              <w:rPr>
                <w:rFonts w:hint="default"/>
              </w:rPr>
              <w:t>红外辅助感知</w:t>
            </w:r>
          </w:p>
          <w:p w14:paraId="1FDE4580">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测距原理：利用红外发射管发出特定波长的红外线，当红外线遇到前方障碍物时发生反射，由红外接收管捕获反射回来的光信号。系统通过计算光束反射的强度差或相位差，能够以极高的灵敏度探测出近距离范围内物体的存在与方位。</w:t>
            </w:r>
          </w:p>
          <w:p w14:paraId="4F7A4092">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仅依靠超声波会存在声波发射与接收的近距离盲区，红外测距传感器则是多模态感知中不可或缺的近距离防线。本设计在机器人底盘侧边及易碰撞死角位置加装夏普GP2Y1010AU0F（或VL53L0X）红外测距传感器。其专门负责对近场盲区（&lt;10cm）进行极端补充检测与防跌落监测。通过视觉、超声波与红外三类传感器的数据时间配准与空间坐标统一，最终完成360°全范围的多源数据融合，实现对周边环境真正的无死角立体化感知。</w:t>
            </w:r>
          </w:p>
          <w:p w14:paraId="17ABD88A">
            <w:pPr>
              <w:pStyle w:val="23"/>
              <w:bidi w:val="0"/>
              <w:rPr>
                <w:rFonts w:hint="default"/>
                <w:lang w:val="en-US"/>
              </w:rPr>
            </w:pPr>
            <w:r>
              <w:rPr>
                <w:rFonts w:hint="default"/>
              </w:rPr>
              <w:t>2、数</w:t>
            </w:r>
            <w:r>
              <w:rPr>
                <w:rFonts w:hint="eastAsia"/>
                <w:lang w:val="en-US" w:eastAsia="zh-CN"/>
              </w:rPr>
              <w:t>据融合与关键算法</w:t>
            </w:r>
          </w:p>
          <w:p w14:paraId="2C5AC22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数据分析主要包含自适应跟随处理、动态避障判断两个核心决策部分。</w:t>
            </w:r>
          </w:p>
          <w:p w14:paraId="3A2467D0">
            <w:pPr>
              <w:pStyle w:val="23"/>
              <w:bidi w:val="0"/>
              <w:rPr>
                <w:rFonts w:hint="default"/>
              </w:rPr>
            </w:pPr>
            <w:r>
              <w:rPr>
                <w:rFonts w:hint="default"/>
              </w:rPr>
              <w:t>（1）自适应跟随处理</w:t>
            </w:r>
          </w:p>
          <w:p w14:paraId="56FD453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行信息采集后，选用STM32微处理器来接收和处理海量原始数据。系统将采集到的视觉坐标信号与超声波、红外距离信号进行多源融合与时间配准。在精确锁定宠物位置后，利用自适应距离与速度的双闭环控制算法实时解算，输出底盘电机的目标PID参数。考虑到宠物生性好动且轨迹具有高突变性，系统特设柔性约束机制，使得跟随距离始终被动态控制在0.5-1.5米的黄金安全区间内，既保持亲密互动，又避免了因贴身逼近造成的宠物惊吓与应激反应。在经过接收、融合、滤波处理之后，便可向底层输出平滑且稳定的数字驱动信号。跟随算法数据处理流程图见图4。</w:t>
            </w:r>
          </w:p>
          <w:p w14:paraId="0BF4EB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628390" cy="3240405"/>
                  <wp:effectExtent l="0" t="0" r="0" b="0"/>
                  <wp:docPr id="6" name="图片 6" descr="自适应跟随算法数据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自适应跟随算法数据处理流程图"/>
                          <pic:cNvPicPr>
                            <a:picLocks noChangeAspect="1"/>
                          </pic:cNvPicPr>
                        </pic:nvPicPr>
                        <pic:blipFill>
                          <a:blip r:embed="rId8"/>
                          <a:srcRect l="18478" r="17103" b="-2265"/>
                          <a:stretch>
                            <a:fillRect/>
                          </a:stretch>
                        </pic:blipFill>
                        <pic:spPr>
                          <a:xfrm>
                            <a:off x="0" y="0"/>
                            <a:ext cx="3628390" cy="3240405"/>
                          </a:xfrm>
                          <a:prstGeom prst="rect">
                            <a:avLst/>
                          </a:prstGeom>
                        </pic:spPr>
                      </pic:pic>
                    </a:graphicData>
                  </a:graphic>
                </wp:inline>
              </w:drawing>
            </w:r>
          </w:p>
          <w:p w14:paraId="34E0CCA4">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t>图4 自适应跟随算法数据处理流程图</w:t>
            </w:r>
          </w:p>
          <w:p w14:paraId="3ABDA531">
            <w:pPr>
              <w:pStyle w:val="23"/>
              <w:bidi w:val="0"/>
              <w:rPr>
                <w:rFonts w:hint="default"/>
              </w:rPr>
            </w:pPr>
            <w:r>
              <w:rPr>
                <w:rFonts w:hint="default"/>
              </w:rPr>
              <w:t>（2）动态避障判断</w:t>
            </w:r>
          </w:p>
          <w:p w14:paraId="515AC874">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机器人执行跟随任务的过程中，系统以高频实时轮询超声波与红外传感器传回的距离阈值。当检测到前方存在家具或墙角等物理障碍时，STM32主控迅速触发避障优先中断，采用“前置预判-平滑绕行-轨迹恢复”的柔性避障策略。此时，底层运动模型会即刻调整左右侧电机的差速比，无需设备停顿或原地打转重规划，即可划出平滑弧线顺畅绕行；避障动作结束后，系统无缝切回视觉坐标，迅速恢复对宠物的动态追踪。</w:t>
            </w:r>
          </w:p>
          <w:p w14:paraId="4898B426">
            <w:pPr>
              <w:pStyle w:val="23"/>
              <w:bidi w:val="0"/>
              <w:rPr>
                <w:rFonts w:hint="default"/>
                <w:lang w:val="en-US"/>
              </w:rPr>
            </w:pPr>
            <w:r>
              <w:rPr>
                <w:rFonts w:hint="default"/>
              </w:rPr>
              <w:t>3、</w:t>
            </w:r>
            <w:r>
              <w:rPr>
                <w:rFonts w:hint="eastAsia"/>
                <w:lang w:val="en-US" w:eastAsia="zh-CN"/>
              </w:rPr>
              <w:t>系统集成交互</w:t>
            </w:r>
          </w:p>
          <w:p w14:paraId="7E7330DC">
            <w:pPr>
              <w:pStyle w:val="23"/>
              <w:bidi w:val="0"/>
              <w:rPr>
                <w:rFonts w:hint="default"/>
              </w:rPr>
            </w:pPr>
            <w:r>
              <w:rPr>
                <w:rFonts w:hint="default"/>
              </w:rPr>
              <w:t>（1）电机驱动与连接</w:t>
            </w:r>
          </w:p>
          <w:p w14:paraId="4705039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机器人在完成数据处理并规划出避障或跟随路径后，主控定时器将PWM信号传送给电机驱动芯片（选用TB6612或L298N），驱动底盘上的直流减速电机。接收到控制信号后，电机带动防滑橡胶动力轮转动，实现灵活的差分驱动。为保障行进与转向的精准度，电机尾部附带的霍尔编码器会实时将转速脉冲反馈给单片机，形成增量式PID闭环控制。这有效补偿了因地面摩擦力变化带来的行驶误差，确保机器人能够平稳、匀速地完成转向，完美适应瓷砖、木地板、地毯等复杂的家庭地面材质。运动底盘控制连接图如图5。</w:t>
            </w:r>
          </w:p>
          <w:p w14:paraId="51809114">
            <w:pPr>
              <w:pStyle w:val="23"/>
              <w:bidi w:val="0"/>
              <w:rPr>
                <w:rFonts w:hint="default"/>
              </w:rPr>
            </w:pPr>
            <w:r>
              <w:rPr>
                <w:rFonts w:hint="default"/>
              </w:rPr>
              <w:t>（2）声光语音交互</w:t>
            </w:r>
          </w:p>
          <w:p w14:paraId="3AA5C13C">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的工作状态以及与宠物的互动反馈，均需通过声光交互模块进行表达。机器人头部面板配备拟物化表情显示模组（或LED矩阵），周边环绕流光灯带。通过改变色彩变幻与呼吸闪烁频率，直观映射设备当前的工作模式（如寻觅、跟随、异常警报）。同时，机身内部集成音频功放与扬声器，在接收到主控指令后，能够解码并播放预设的安抚音频、逗宠音效或电量告警音，赋予机器人生动的情感表达与安抚能力。</w:t>
            </w:r>
          </w:p>
          <w:p w14:paraId="294775F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845560" cy="1426210"/>
                  <wp:effectExtent l="0" t="0" r="0" b="0"/>
                  <wp:docPr id="7" name="图片 7" descr="运动底盘控制系统连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运动底盘控制系统连接图"/>
                          <pic:cNvPicPr>
                            <a:picLocks noChangeAspect="1"/>
                          </pic:cNvPicPr>
                        </pic:nvPicPr>
                        <pic:blipFill>
                          <a:blip r:embed="rId9"/>
                          <a:srcRect l="8850" t="12585" r="22875" b="42405"/>
                          <a:stretch>
                            <a:fillRect/>
                          </a:stretch>
                        </pic:blipFill>
                        <pic:spPr>
                          <a:xfrm>
                            <a:off x="0" y="0"/>
                            <a:ext cx="3845560" cy="1426210"/>
                          </a:xfrm>
                          <a:prstGeom prst="rect">
                            <a:avLst/>
                          </a:prstGeom>
                        </pic:spPr>
                      </pic:pic>
                    </a:graphicData>
                  </a:graphic>
                </wp:inline>
              </w:drawing>
            </w:r>
          </w:p>
          <w:p w14:paraId="3E296034">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eastAsia"/>
                <w:sz w:val="24"/>
                <w:szCs w:val="24"/>
                <w:lang w:val="en-US" w:eastAsia="zh-CN"/>
              </w:rPr>
              <w:t xml:space="preserve">图5 </w:t>
            </w:r>
            <w:r>
              <w:rPr>
                <w:rFonts w:hint="default"/>
                <w:sz w:val="24"/>
                <w:szCs w:val="24"/>
                <w:lang w:val="en-US" w:eastAsia="zh-CN"/>
              </w:rPr>
              <w:t>运动底盘控制连接图</w:t>
            </w:r>
          </w:p>
          <w:p w14:paraId="11697629">
            <w:pPr>
              <w:pStyle w:val="23"/>
              <w:bidi w:val="0"/>
              <w:rPr>
                <w:rFonts w:hint="default"/>
              </w:rPr>
            </w:pPr>
            <w:r>
              <w:rPr>
                <w:rFonts w:hint="default"/>
              </w:rPr>
              <w:t>（3）数据通信与可视化</w:t>
            </w:r>
          </w:p>
          <w:p w14:paraId="09619BBE">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引入ESP8266/ESP32模组搭建Wi-Fi与BLE双模无线通信链路。该模组在后台持续将机器人的第一人称视频流、环境温湿度及设备剩余电量等底层状态，上行透传至用户的手机端APP；同时，实时接收用户从远端下发的虚拟摇杆控制、一键喂食等操作指令。配套的APP界面层科学聚合了“首页总览、视频监控、设备管控”等核心功能区，将复杂的底层机器参数转化为直观、易用的可视化界面，彻底打通人机互联的通道。</w:t>
            </w:r>
          </w:p>
          <w:p w14:paraId="0D2532DD">
            <w:pPr>
              <w:pStyle w:val="23"/>
              <w:bidi w:val="0"/>
              <w:rPr>
                <w:rFonts w:hint="default"/>
              </w:rPr>
            </w:pPr>
            <w:r>
              <w:rPr>
                <w:rFonts w:hint="default"/>
              </w:rPr>
              <w:t>4、软件程序流程图</w:t>
            </w:r>
          </w:p>
          <w:p w14:paraId="28CF5E1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整个系统软件程序主要包括感知层的硬件驱动、核心算法层的数据融合与处理、业务应用层的异常管控与指令流转。信息采集模块涵盖摄像头视觉捕获、多路超声波测距、红外防跌落监测</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数据处理模块涵盖轻量级目标识别算法、多源传感器联合定标、PID闭环调速</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运动与交互模块涵盖电机差速运算、APP状态同步与指令解析。本系统主控单元STM32拥有完善的标准外设库和强大的中断响应机制，极大提高了整体程序调度的可靠性与敏捷度。</w:t>
            </w:r>
          </w:p>
          <w:p w14:paraId="111735C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灵眸伴宠”系统通电后，系统首先执行全机外部设备的初始化自检，随后分线程运行环境数据采集与目标识别程序。启动感知模块后，若视野内未锁定宠物目标，机器人进入定点扫描搜索模式，并伴随寻觅声光提示</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一旦视觉模块成功捕获宠物特征轮廓，系统即刻拉起自主跟随与动态避障算法主循环。与此同时，无线通信模块在后台异步启动，持续向APP推流并监听远程互动指令。运行期间，一旦系统监测到电池欠压、长时间目标丢失或底盘悬空等异常工况，将立刻切入异常处理分支，机器人本体执行停止移动及声光报警，并向手机APP推送消息预警。系统</w:t>
            </w:r>
            <w:r>
              <w:rPr>
                <w:rFonts w:hint="eastAsia" w:eastAsia="宋体" w:cs="Times New Roman"/>
                <w:sz w:val="24"/>
                <w:szCs w:val="24"/>
                <w:lang w:val="en-US" w:eastAsia="zh-CN"/>
              </w:rPr>
              <w:t>软件</w:t>
            </w:r>
            <w:r>
              <w:rPr>
                <w:rFonts w:hint="default" w:ascii="Times New Roman" w:hAnsi="Times New Roman" w:eastAsia="宋体" w:cs="Times New Roman"/>
                <w:sz w:val="24"/>
                <w:szCs w:val="24"/>
              </w:rPr>
              <w:t>流程图如图6所示。</w:t>
            </w:r>
          </w:p>
          <w:p w14:paraId="1CE7D02B">
            <w:pPr>
              <w:pStyle w:val="22"/>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ascii="Times New Roman" w:hAnsi="Times New Roman" w:cs="Times New Roman"/>
              </w:rPr>
            </w:pPr>
            <w:r>
              <w:rPr>
                <w:rFonts w:hint="default" w:ascii="Times New Roman" w:hAnsi="Times New Roman" w:cs="Times New Roman"/>
              </w:rPr>
              <w:t>（二）拟解决的问题</w:t>
            </w:r>
          </w:p>
          <w:p w14:paraId="410A8C1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1、问题来源</w:t>
            </w:r>
          </w:p>
          <w:p w14:paraId="35F8BA2F">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的研发与系统架构设计过程揭示了当前智能伴宠设备及低算力嵌入式开发领域的几个关键痛点：首先，市场上现有的伴宠设备大多功能单一（如定点监控）或价格高昂（依赖高算力芯片与昂贵的激光雷达），无法满足下沉市场普通养宠家庭的需求；其次，传统设</w:t>
            </w:r>
          </w:p>
          <w:p w14:paraId="5408D385">
            <w:pPr>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备的跟随逻辑过于生硬，持续性的近距离跟踪极易导致宠物产生压迫感与应激反应，缺乏“宠物友好型”的交互设计；最后，在资源受限的STM32单片机平台上，如何兼顾多传感器数据的高速处理、复杂室内环境的动态避障以及平滑的PID闭环控制，是底层软硬件协同亟待突破的技术瓶颈。</w:t>
            </w:r>
          </w:p>
          <w:p w14:paraId="13BE08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568950" cy="7353300"/>
                  <wp:effectExtent l="0" t="0" r="12700" b="0"/>
                  <wp:docPr id="2" name="图片 2" descr="图3 系统工作流程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3 系统工作流程设计图"/>
                          <pic:cNvPicPr>
                            <a:picLocks noChangeAspect="1"/>
                          </pic:cNvPicPr>
                        </pic:nvPicPr>
                        <pic:blipFill>
                          <a:blip r:embed="rId10"/>
                          <a:stretch>
                            <a:fillRect/>
                          </a:stretch>
                        </pic:blipFill>
                        <pic:spPr>
                          <a:xfrm>
                            <a:off x="0" y="0"/>
                            <a:ext cx="5568950" cy="7353300"/>
                          </a:xfrm>
                          <a:prstGeom prst="rect">
                            <a:avLst/>
                          </a:prstGeom>
                        </pic:spPr>
                      </pic:pic>
                    </a:graphicData>
                  </a:graphic>
                </wp:inline>
              </w:drawing>
            </w:r>
          </w:p>
          <w:p w14:paraId="4A5C12F9">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p>
          <w:p w14:paraId="75608AA4">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t>图6系统软件流程图</w:t>
            </w:r>
          </w:p>
          <w:p w14:paraId="5FEC7040">
            <w:pPr>
              <w:pStyle w:val="23"/>
              <w:bidi w:val="0"/>
              <w:rPr>
                <w:rFonts w:hint="default"/>
              </w:rPr>
            </w:pPr>
            <w:r>
              <w:rPr>
                <w:rFonts w:hint="default"/>
                <w:lang w:val="en-US" w:eastAsia="zh-CN"/>
              </w:rPr>
              <w:t>2、</w:t>
            </w:r>
            <w:r>
              <w:rPr>
                <w:rFonts w:hint="default"/>
              </w:rPr>
              <w:t>现有问题和解决方案</w:t>
            </w:r>
          </w:p>
          <w:p w14:paraId="4C63E5A4">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（1）低算力平台的感知受限问题。由于STM32处理海量视频流帧数据的算力不足，导致目标识别与追踪响应存在高延迟，可能引发跟随丢失。需引入边缘算力卸载方案，提高系统整体的感知帧率与自主性。</w:t>
            </w:r>
          </w:p>
          <w:p w14:paraId="5017148E">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复杂场景下的避障与跟随冲突问题。室内环境中存在大量家具盲区与光线死角，设备在执行跟随指令时极易发生碰撞或陷入死角卡顿。需建立多维度的环境感知与优先级中断机制，提高设备运行的安全性与鲁棒性。</w:t>
            </w:r>
          </w:p>
          <w:p w14:paraId="149EB696">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（3）设备运转造成的宠物应激问题。机械式的持续逼近与生硬的电机噪音容易惊吓宠物，偏离了产品“陪伴与安抚”的初衷。需对设备的运动学模型与伴随策略进行底层优化，提升产品的交互亲和力。</w:t>
            </w:r>
          </w:p>
          <w:p w14:paraId="79BD7B5D">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解决方案：在技术架构上，系统采用“STM32主控+OpenMV视觉协处理器”的双核协同设计，实施算力下放，目标将特征识别响应时间压缩至毫秒级；在硬件布局上，重构传感器阵列，将超声波与红外模块环形分布，实现360度立体感知；在控制逻辑上，引入自适应距离约束与“非连续伴随”策略，配合底盘的增量式PID闭环控制，全面提升设备在室内复杂地形下的运行平稳度与宠物交互体验。</w:t>
            </w:r>
          </w:p>
          <w:p w14:paraId="584D612B">
            <w:pPr>
              <w:pStyle w:val="23"/>
              <w:bidi w:val="0"/>
              <w:rPr>
                <w:rFonts w:hint="default"/>
              </w:rPr>
            </w:pPr>
            <w:r>
              <w:rPr>
                <w:rFonts w:hint="default"/>
              </w:rPr>
              <w:t>3、解决问题的思路</w:t>
            </w:r>
          </w:p>
          <w:p w14:paraId="72570712">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本项目“灵眸伴宠”的目的在于通过低成本的嵌入式技术创新，打破高端伴宠设备的市场壁垒，实现家庭宠物智能照护的普及。主要解决了以下几个问题：</w:t>
            </w:r>
          </w:p>
          <w:p w14:paraId="646EC2B7">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针对低算力单片机无法胜任高精度图像识别的问题，系统将繁重的视觉提取任务交由OpenMV模块独立运行，STM32仅接收处理后的特征坐标偏移量。通过这种“协处理器算力卸载”技术，完美解决了低成本硬件架构与高精度目标捕捉之间的矛盾。</w:t>
            </w:r>
          </w:p>
          <w:p w14:paraId="6DC51305">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针对复杂室内环境容易导致设备碰撞与卡死的问题，本项目搭建了“多传感器融合感知网络”。通过将视觉模块的主定向数据，与超声波提供的中远距离避障矩阵、红外传感器提供的近场（&lt;10cm）盲区数据进行时空定标与加权融合。当检测到障碍物时，底层驱动采用“前置预判-平滑绕行”的差分控制策略，解决了避障与跟随的冲突切换问题。</w:t>
            </w:r>
          </w:p>
          <w:p w14:paraId="458DA04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针对传统机器人持续跟踪导致宠物恐慌的问题，本项目在算法层创新植入了“自适应间歇跟随”与距离柔性约束逻辑（动态维持0.5-1.5米安全距离）。结合对霍尔编码器反馈数据进行的PID动态补偿，消除电机起步与急转弯时的机械顿挫，并通过声光表情模块进行柔性安抚，从根本上解决了设备的宠物友好度问题。</w:t>
            </w:r>
          </w:p>
          <w:p w14:paraId="638E552F">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4）针对用户外出时无法实时掌握宠物动态的交互断层问题，本项目利用ESP8266/ESP32模组打通了“端-云双向通信”链路。将设备底层的环境状态、剩余电量及第一人称视频流低延迟透传至配套手机APP，用户可在远端无缝下发虚拟摇杆或自动喂食指令，解决空间隔离带来的照护盲区问题。</w:t>
            </w:r>
          </w:p>
          <w:p w14:paraId="2260F380">
            <w:pPr>
              <w:pStyle w:val="22"/>
              <w:bidi w:val="0"/>
              <w:rPr>
                <w:rFonts w:hint="default"/>
                <w:lang w:val="en-US" w:eastAsia="zh-CN"/>
              </w:rPr>
            </w:pPr>
            <w:r>
              <w:rPr>
                <w:rFonts w:hint="eastAsia"/>
                <w:lang w:val="en-US" w:eastAsia="zh-CN"/>
              </w:rPr>
              <w:t>（三）</w:t>
            </w:r>
            <w:r>
              <w:rPr>
                <w:rFonts w:hint="default"/>
                <w:lang w:val="en-US" w:eastAsia="zh-CN"/>
              </w:rPr>
              <w:t>创新点及优势</w:t>
            </w:r>
          </w:p>
          <w:p w14:paraId="212B81B6">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（1）通过优化自适应跟随算法，根据宠物的当前位置和运动状态计算出最优的跟随路线。</w:t>
            </w:r>
          </w:p>
          <w:p w14:paraId="7DD2DF21">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（2）采用多传感器融合技术，通过视觉、超声波和红外传感器协同工作，为设备提供目标追踪和环境安全提示，以避免在跟随运行中的碰撞隐患。</w:t>
            </w:r>
          </w:p>
          <w:p w14:paraId="10D5F0C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（3）运用全场景软硬件协同技术，通过手机端APP实现了主人与宠物之间的远程互动交流。并在机身的内部设计有隐藏式伸缩喂食托盘，为宠物独自在家提供饮食保障，提高了产品的易用性和用户体验。</w:t>
            </w:r>
            <w:r>
              <w:rPr>
                <w:rFonts w:hint="eastAsia" w:eastAsia="宋体" w:cs="Times New Roman"/>
                <w:sz w:val="24"/>
                <w:szCs w:val="24"/>
                <w:lang w:val="en-US" w:eastAsia="zh-CN"/>
              </w:rPr>
              <w:t>并且</w:t>
            </w:r>
            <w:r>
              <w:rPr>
                <w:rFonts w:hint="default" w:ascii="Times New Roman" w:hAnsi="Times New Roman" w:eastAsia="宋体" w:cs="Times New Roman"/>
                <w:sz w:val="24"/>
                <w:szCs w:val="24"/>
              </w:rPr>
              <w:t>APP具有界面直观、功能丰富等特点，机器人能够对宠物的状态及环境障碍物进行检测，更贴近现代家庭养宠陪伴的需求。</w:t>
            </w:r>
          </w:p>
          <w:p w14:paraId="355307FB">
            <w:pPr>
              <w:pStyle w:val="21"/>
              <w:bidi w:val="0"/>
              <w:rPr>
                <w:rFonts w:hint="eastAsia"/>
                <w:lang w:val="en-US" w:eastAsia="zh-CN"/>
              </w:rPr>
            </w:pPr>
            <w:r>
              <w:rPr>
                <w:rFonts w:hint="eastAsia"/>
                <w:lang w:val="en-US" w:eastAsia="zh-CN"/>
              </w:rPr>
              <w:t>三、项目研究与实施的基础条件</w:t>
            </w:r>
          </w:p>
          <w:p w14:paraId="49DFA8ED">
            <w:pPr>
              <w:pStyle w:val="22"/>
              <w:bidi w:val="0"/>
              <w:rPr>
                <w:rFonts w:hint="eastAsia"/>
                <w:lang w:val="en-US" w:eastAsia="zh-CN"/>
              </w:rPr>
            </w:pPr>
            <w:r>
              <w:rPr>
                <w:rFonts w:hint="eastAsia"/>
                <w:lang w:val="en-US" w:eastAsia="zh-CN"/>
              </w:rPr>
              <w:t>（一）研究平台</w:t>
            </w:r>
          </w:p>
          <w:p w14:paraId="2257A1B5">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本项目依托湖北经济学院信息工程学院开展实施，学院完善的产学研平台与配套硬件设施，为项目研发、测试及成果落地提供了坚实保障，具体条件如下：</w:t>
            </w:r>
          </w:p>
          <w:p w14:paraId="5A3F015E">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1</w:t>
            </w:r>
            <w:r>
              <w:rPr>
                <w:rFonts w:hint="eastAsia" w:eastAsia="宋体" w:cs="Times New Roman"/>
                <w:sz w:val="24"/>
                <w:szCs w:val="24"/>
                <w:lang w:val="en-US" w:eastAsia="zh-CN"/>
              </w:rPr>
              <w:t>、</w:t>
            </w:r>
            <w:r>
              <w:rPr>
                <w:rFonts w:hint="default" w:ascii="Times New Roman" w:hAnsi="Times New Roman" w:eastAsia="宋体" w:cs="Times New Roman"/>
                <w:sz w:val="24"/>
                <w:szCs w:val="24"/>
                <w:lang w:val="en-US" w:eastAsia="zh-CN"/>
              </w:rPr>
              <w:t>学院建有标准化软硬件实验室、物联网创新实验室等专项科研场地，其中智能控制实验室配置多台高性能计算机及全套智能硬件、嵌入式研发测试设备，可为本项目全程研发、调试、实验提供专属场地与充足的硬件设备支撑，满足项目常态化研发需求。</w:t>
            </w:r>
          </w:p>
          <w:p w14:paraId="470D8867">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2</w:t>
            </w:r>
            <w:r>
              <w:rPr>
                <w:rFonts w:hint="eastAsia" w:eastAsia="宋体" w:cs="Times New Roman"/>
                <w:sz w:val="24"/>
                <w:szCs w:val="24"/>
                <w:lang w:val="en-US" w:eastAsia="zh-CN"/>
              </w:rPr>
              <w:t>、</w:t>
            </w:r>
            <w:r>
              <w:rPr>
                <w:rFonts w:hint="default" w:ascii="Times New Roman" w:hAnsi="Times New Roman" w:eastAsia="宋体" w:cs="Times New Roman"/>
                <w:sz w:val="24"/>
                <w:szCs w:val="24"/>
                <w:lang w:val="en-US" w:eastAsia="zh-CN"/>
              </w:rPr>
              <w:t>学院配备齐全的嵌入式专项研发设备，包含多套STM32综合实验平台、树莓派嵌入式开发平台、智能小车等实训研发设备，可全面覆盖项目前期预研、核心功能开发、系统调试等全流程工作，为项目顺利推进提供完善的硬件平台保障。</w:t>
            </w:r>
          </w:p>
          <w:p w14:paraId="0B7B6430">
            <w:pPr>
              <w:pStyle w:val="22"/>
              <w:bidi w:val="0"/>
              <w:rPr>
                <w:rFonts w:hint="default"/>
              </w:rPr>
            </w:pPr>
            <w:r>
              <w:rPr>
                <w:rFonts w:hint="default"/>
              </w:rPr>
              <w:t>（二）师资力量</w:t>
            </w:r>
          </w:p>
          <w:p w14:paraId="11898D2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本项目指导教师为信息工程学院骨干教师，主要研究方向聚焦嵌入式软件开发、智能控制、物联网技术应用、多传感器数据融合等领域，具备扎实的理论功底和丰富的科研项目指导经验。同时，指导教师长期承担计算机硬件、嵌入式开发等核心课程教学工作，软硬件系统设计与研发实战能力突出，能够精准指导团队解决项目研发中的各类技术难题。</w:t>
            </w:r>
          </w:p>
          <w:p w14:paraId="5CE41F24">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此外，项目依托的信息工程学院师资团队实力雄厚，现有教授5人、副教授28人、博士20人，形成了一支结构合理、专业度高、科研能力强的教学科研队伍，全方位为本项目的技术攻关、研发推进、成果完善提供强有力的师资保障与学术支撑。</w:t>
            </w:r>
          </w:p>
          <w:p w14:paraId="1A46B089">
            <w:pPr>
              <w:pStyle w:val="22"/>
              <w:bidi w:val="0"/>
              <w:rPr>
                <w:rFonts w:hint="default"/>
              </w:rPr>
            </w:pPr>
            <w:r>
              <w:rPr>
                <w:rFonts w:hint="default"/>
              </w:rPr>
              <w:t>（三）团队研发能力</w:t>
            </w:r>
          </w:p>
          <w:p w14:paraId="7E374291">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1、对超声波、红外等各类传感器的相关功能比较了解，努力学习熟练使用。</w:t>
            </w:r>
          </w:p>
          <w:p w14:paraId="4683FD06">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2、擅长对STM32等嵌入式硬件系统进行设计和对底层软件代码进行调试。</w:t>
            </w:r>
          </w:p>
          <w:p w14:paraId="22064CF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3、组员都熟练掌握C/C++语言，并且学习过《传感器原理》</w:t>
            </w:r>
            <w:r>
              <w:rPr>
                <w:rFonts w:hint="eastAsia" w:eastAsia="宋体" w:cs="Times New Roman"/>
                <w:sz w:val="24"/>
                <w:szCs w:val="24"/>
                <w:lang w:eastAsia="zh-CN"/>
              </w:rPr>
              <w:t>《</w:t>
            </w:r>
            <w:r>
              <w:rPr>
                <w:rFonts w:hint="eastAsia" w:eastAsia="宋体" w:cs="Times New Roman"/>
                <w:sz w:val="24"/>
                <w:szCs w:val="24"/>
                <w:lang w:val="en-US" w:eastAsia="zh-CN"/>
              </w:rPr>
              <w:t>嵌入式系统开发》</w:t>
            </w:r>
            <w:r>
              <w:rPr>
                <w:rFonts w:hint="default" w:ascii="Times New Roman" w:hAnsi="Times New Roman" w:eastAsia="宋体" w:cs="Times New Roman"/>
                <w:sz w:val="24"/>
                <w:szCs w:val="24"/>
              </w:rPr>
              <w:t>等</w:t>
            </w:r>
            <w:r>
              <w:rPr>
                <w:rFonts w:hint="eastAsia" w:eastAsia="宋体" w:cs="Times New Roman"/>
                <w:sz w:val="24"/>
                <w:szCs w:val="24"/>
                <w:lang w:val="en-US" w:eastAsia="zh-CN"/>
              </w:rPr>
              <w:t>专业</w:t>
            </w:r>
            <w:r>
              <w:rPr>
                <w:rFonts w:hint="default" w:ascii="Times New Roman" w:hAnsi="Times New Roman" w:eastAsia="宋体" w:cs="Times New Roman"/>
                <w:sz w:val="24"/>
                <w:szCs w:val="24"/>
              </w:rPr>
              <w:t>核心课程。</w:t>
            </w:r>
          </w:p>
          <w:p w14:paraId="0485A9D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4、在之前的学习过程中经常自主设计各类系统，如</w:t>
            </w:r>
            <w:r>
              <w:rPr>
                <w:rFonts w:hint="eastAsia" w:eastAsia="宋体" w:cs="Times New Roman"/>
                <w:sz w:val="24"/>
                <w:szCs w:val="24"/>
                <w:lang w:eastAsia="zh-CN"/>
              </w:rPr>
              <w:t>：</w:t>
            </w:r>
            <w:r>
              <w:rPr>
                <w:rFonts w:hint="eastAsia" w:eastAsia="宋体" w:cs="Times New Roman"/>
                <w:sz w:val="24"/>
                <w:szCs w:val="24"/>
                <w:lang w:val="en-US" w:eastAsia="zh-CN"/>
              </w:rPr>
              <w:t>四位抢答器、</w:t>
            </w:r>
            <w:r>
              <w:rPr>
                <w:rFonts w:hint="default" w:ascii="Times New Roman" w:hAnsi="Times New Roman" w:eastAsia="宋体" w:cs="Times New Roman"/>
                <w:sz w:val="24"/>
                <w:szCs w:val="24"/>
              </w:rPr>
              <w:t>智能避障小车、基于单片机的多传感器控制系统设计，并且获得老师的高度认可。</w:t>
            </w:r>
          </w:p>
          <w:p w14:paraId="3CAB48A2">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eastAsia" w:ascii="宋体" w:hAnsi="宋体" w:eastAsia="宋体" w:cs="宋体"/>
                <w:sz w:val="24"/>
                <w:szCs w:val="24"/>
                <w:lang w:val="en-US" w:eastAsia="zh-CN"/>
              </w:rPr>
              <w:t>5、</w:t>
            </w:r>
            <w:r>
              <w:rPr>
                <w:rFonts w:ascii="宋体" w:hAnsi="宋体" w:eastAsia="宋体" w:cs="宋体"/>
                <w:sz w:val="24"/>
                <w:szCs w:val="24"/>
              </w:rPr>
              <w:t>团队成员具有极强的科研钻研精神与竞赛实战能力。曾参加“蓝桥杯”全国软件和信息技术专业人才大赛（单片机/程序设计方向）并斩获省级奖项</w:t>
            </w:r>
            <w:r>
              <w:rPr>
                <w:rFonts w:hint="eastAsia" w:ascii="宋体" w:hAnsi="宋体" w:eastAsia="宋体" w:cs="宋体"/>
                <w:sz w:val="24"/>
                <w:szCs w:val="24"/>
                <w:lang w:eastAsia="zh-CN"/>
              </w:rPr>
              <w:t>。</w:t>
            </w:r>
            <w:r>
              <w:rPr>
                <w:rFonts w:ascii="宋体" w:hAnsi="宋体" w:eastAsia="宋体" w:cs="宋体"/>
                <w:sz w:val="24"/>
                <w:szCs w:val="24"/>
              </w:rPr>
              <w:t>此外，团队骨干曾</w:t>
            </w:r>
            <w:r>
              <w:rPr>
                <w:rFonts w:hint="eastAsia" w:ascii="宋体" w:hAnsi="宋体" w:eastAsia="宋体" w:cs="宋体"/>
                <w:sz w:val="24"/>
                <w:szCs w:val="24"/>
                <w:lang w:val="en-US" w:eastAsia="zh-CN"/>
              </w:rPr>
              <w:t>各自</w:t>
            </w:r>
            <w:r>
              <w:rPr>
                <w:rFonts w:ascii="宋体" w:hAnsi="宋体" w:eastAsia="宋体" w:cs="宋体"/>
                <w:sz w:val="24"/>
                <w:szCs w:val="24"/>
              </w:rPr>
              <w:t>主持过一项大学生科研项目并以“校级一般”评级成功结项。</w:t>
            </w:r>
          </w:p>
          <w:p w14:paraId="1E78C027">
            <w:pPr>
              <w:pStyle w:val="21"/>
              <w:bidi w:val="0"/>
              <w:rPr>
                <w:rFonts w:hint="default"/>
              </w:rPr>
            </w:pPr>
            <w:r>
              <w:rPr>
                <w:rFonts w:hint="default"/>
              </w:rPr>
              <w:t>四、项目实施方案</w:t>
            </w:r>
          </w:p>
          <w:p w14:paraId="5AEC3491">
            <w:pPr>
              <w:pStyle w:val="22"/>
              <w:bidi w:val="0"/>
              <w:rPr>
                <w:rFonts w:hint="default"/>
              </w:rPr>
            </w:pPr>
            <w:r>
              <w:rPr>
                <w:rFonts w:hint="default"/>
              </w:rPr>
              <w:t>（一）</w:t>
            </w:r>
            <w:r>
              <w:rPr>
                <w:rFonts w:ascii="宋体" w:hAnsi="宋体" w:eastAsia="宋体" w:cs="宋体"/>
                <w:sz w:val="24"/>
                <w:szCs w:val="24"/>
              </w:rPr>
              <w:t>前期准备与架构定型阶段</w:t>
            </w:r>
            <w:r>
              <w:rPr>
                <w:rFonts w:hint="default"/>
              </w:rPr>
              <w:t>（2026年4月-2026年5月）</w:t>
            </w:r>
          </w:p>
          <w:p w14:paraId="13CD66C4">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ascii="宋体" w:hAnsi="宋体" w:eastAsia="宋体" w:cs="宋体"/>
                <w:sz w:val="24"/>
                <w:szCs w:val="24"/>
              </w:rPr>
              <w:t>讨论城市养宠家庭的核心痛点，针对问题对机器人的伴随、避障及喂食等核心功能进行商议；细化引脚分配与通信协议，购买相关电子元器件及机械外壳耗材，完成各模块数据手册的预研。</w:t>
            </w:r>
          </w:p>
          <w:p w14:paraId="01B6A0F1">
            <w:pPr>
              <w:pStyle w:val="22"/>
              <w:bidi w:val="0"/>
              <w:rPr>
                <w:rFonts w:hint="default"/>
              </w:rPr>
            </w:pPr>
            <w:r>
              <w:rPr>
                <w:rFonts w:hint="default"/>
              </w:rPr>
              <w:t>（二）</w:t>
            </w:r>
            <w:r>
              <w:rPr>
                <w:rFonts w:ascii="宋体" w:hAnsi="宋体" w:eastAsia="宋体" w:cs="宋体"/>
                <w:sz w:val="24"/>
                <w:szCs w:val="24"/>
              </w:rPr>
              <w:t>初期硬件制作与底层开发阶段</w:t>
            </w:r>
            <w:r>
              <w:rPr>
                <w:rFonts w:hint="default"/>
              </w:rPr>
              <w:t>（2026年6月-2026年8月）</w:t>
            </w:r>
          </w:p>
          <w:p w14:paraId="0E3024E0">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开展项目硬件系统搭建工作，完成多传感器阵列、电机驱动板、电源降压模块等核心硬件的电路焊接、设备组装与物理线路连接。基于STM32主控芯片，编写各外设模块底层C语言驱动代码，完成设备初始化、数据采集、指令响应等基础功能开发。打通主控模块与视觉协处理器、无线通信模组的数据传输链路，完成硬件整机通电测试、基础功能调试，保障各硬件模块独立稳定运行。</w:t>
            </w:r>
          </w:p>
          <w:p w14:paraId="5C096845">
            <w:pPr>
              <w:pStyle w:val="22"/>
              <w:bidi w:val="0"/>
              <w:rPr>
                <w:rFonts w:hint="default"/>
              </w:rPr>
            </w:pPr>
            <w:r>
              <w:rPr>
                <w:rFonts w:hint="default"/>
              </w:rPr>
              <w:t>（三）</w:t>
            </w:r>
            <w:r>
              <w:rPr>
                <w:rFonts w:ascii="宋体" w:hAnsi="宋体" w:eastAsia="宋体" w:cs="宋体"/>
                <w:sz w:val="24"/>
                <w:szCs w:val="24"/>
              </w:rPr>
              <w:t>中期算法植入与系统联调阶段</w:t>
            </w:r>
            <w:r>
              <w:rPr>
                <w:rFonts w:hint="default"/>
              </w:rPr>
              <w:t>（2026年9月-2026年12月）</w:t>
            </w:r>
          </w:p>
          <w:p w14:paraId="2927780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ascii="宋体" w:hAnsi="宋体" w:eastAsia="宋体" w:cs="宋体"/>
                <w:sz w:val="24"/>
                <w:szCs w:val="24"/>
              </w:rPr>
              <w:t>对系统进行全面的联调完善和优化。重点植入自适应跟随与动态避障算法，深度整定底盘差分驱动的PID闭环控制参数；同步联调手机APP端，实现跨网段的视频流传输与指令下发。在实验室预设场地内完成整机测试，并根据宠物的实际反应优化非连续伴随策略。</w:t>
            </w:r>
          </w:p>
          <w:p w14:paraId="4DD47192">
            <w:pPr>
              <w:pStyle w:val="22"/>
              <w:bidi w:val="0"/>
              <w:rPr>
                <w:rFonts w:hint="default"/>
              </w:rPr>
            </w:pPr>
            <w:r>
              <w:rPr>
                <w:rFonts w:hint="default"/>
              </w:rPr>
              <w:t>（四）</w:t>
            </w:r>
            <w:r>
              <w:rPr>
                <w:rFonts w:ascii="宋体" w:hAnsi="宋体" w:eastAsia="宋体" w:cs="宋体"/>
                <w:sz w:val="24"/>
                <w:szCs w:val="24"/>
              </w:rPr>
              <w:t>项目结题与成果转化阶段</w:t>
            </w:r>
            <w:r>
              <w:rPr>
                <w:rFonts w:hint="default"/>
              </w:rPr>
              <w:t>（2027年1月-2027年</w:t>
            </w:r>
            <w:r>
              <w:rPr>
                <w:rFonts w:hint="eastAsia"/>
                <w:lang w:val="en-US" w:eastAsia="zh-CN"/>
              </w:rPr>
              <w:t>4</w:t>
            </w:r>
            <w:r>
              <w:rPr>
                <w:rFonts w:hint="default"/>
              </w:rPr>
              <w:t>月）</w:t>
            </w:r>
          </w:p>
          <w:p w14:paraId="4C31AAB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ascii="宋体" w:hAnsi="宋体" w:eastAsia="宋体" w:cs="宋体"/>
                <w:sz w:val="24"/>
                <w:szCs w:val="24"/>
              </w:rPr>
              <w:t>将测试样机投入真实的养宠家庭进行实景试跑，收集反馈并修复潜在的系统Bug。整理全套技术文档、源代码，进行项目总结，撰写学术论文与结题研究报告，并做好参加后续赛事的现场演示准备。</w:t>
            </w:r>
          </w:p>
          <w:p w14:paraId="6B249D98">
            <w:pPr>
              <w:pStyle w:val="21"/>
              <w:bidi w:val="0"/>
              <w:rPr>
                <w:rFonts w:hint="default"/>
              </w:rPr>
            </w:pPr>
            <w:r>
              <w:rPr>
                <w:rFonts w:hint="default"/>
              </w:rPr>
              <w:t>五、学校可以提供的条件</w:t>
            </w:r>
          </w:p>
          <w:p w14:paraId="5C5DCA61">
            <w:pPr>
              <w:pStyle w:val="22"/>
              <w:bidi w:val="0"/>
              <w:rPr>
                <w:rFonts w:hint="default"/>
              </w:rPr>
            </w:pPr>
            <w:r>
              <w:rPr>
                <w:rFonts w:hint="default"/>
              </w:rPr>
              <w:t>（一）软实力</w:t>
            </w:r>
          </w:p>
          <w:p w14:paraId="3C6687E6">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1、学校图书馆与电子数据中心，为我们提供了大量可供查阅的软硬件技术文献，包括对学校购买的各类核心期刊的运用，让我们能及时掌握低算力平台多源数据融合等相关领域的研究进展。</w:t>
            </w:r>
          </w:p>
          <w:p w14:paraId="19FF9C48">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校内指导教师团队由信息工程学院骨干教授与资深专家组成，从事高等教学、物联网与嵌入式研究工作多年，具有扎实的理论研究水平和丰富的底层实战经验。对我们团队成员如何开展软硬件协同开发进行了详细的讲解和指导，从而使我们的控制方案更加完善，促使团队成员在整个项目中能更顺畅地推进。</w:t>
            </w:r>
          </w:p>
          <w:p w14:paraId="247118F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3、学校的双创孵化机制为项目的前期筹备与中期打样提供部分资金与报销通道，保证了项目在硬件采买与试错等各方面工作的顺利开展。</w:t>
            </w:r>
          </w:p>
          <w:p w14:paraId="0595DBCB">
            <w:pPr>
              <w:pStyle w:val="22"/>
              <w:bidi w:val="0"/>
              <w:rPr>
                <w:rFonts w:hint="default"/>
              </w:rPr>
            </w:pPr>
            <w:r>
              <w:rPr>
                <w:rFonts w:hint="default"/>
              </w:rPr>
              <w:t>（二）硬件实力</w:t>
            </w:r>
          </w:p>
          <w:p w14:paraId="5B8A60F0">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1、科研教学设施：开放高标准的物联网实验室、微机控制实验室、计算机机房及大学生创新实践活动中心。</w:t>
            </w:r>
          </w:p>
          <w:p w14:paraId="4B42C573">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2、仪器设备：提供充足的STM32嵌入式综合实验平台、高精度数字示波器、逻辑分析仪、多功能万用表及精密焊接工作台等专用实验设备，彻底解决底层硬件开发的后顾之忧。</w:t>
            </w:r>
          </w:p>
          <w:p w14:paraId="241DD916">
            <w:pPr>
              <w:pStyle w:val="21"/>
              <w:bidi w:val="0"/>
              <w:rPr>
                <w:rFonts w:hint="default"/>
              </w:rPr>
            </w:pPr>
            <w:r>
              <w:rPr>
                <w:rFonts w:hint="default"/>
              </w:rPr>
              <w:t>六、预期成果</w:t>
            </w:r>
          </w:p>
          <w:p w14:paraId="036817E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、以本项目研发的实物样机与技术方案为依托，参加“中国高校智能机器人创意大赛”、“中国大学生计算机设计大赛”等国家级/省级A类学科竞赛并争取斩获奖项。</w:t>
            </w:r>
          </w:p>
          <w:p w14:paraId="3B09F61E">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、公开发表一篇相关学术论文。</w:t>
            </w:r>
          </w:p>
          <w:p w14:paraId="4516B6A6">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cs="Times New Roman"/>
              </w:rPr>
            </w:pPr>
            <w:r>
              <w:rPr>
                <w:rFonts w:ascii="宋体" w:hAnsi="宋体" w:eastAsia="宋体" w:cs="宋体"/>
                <w:sz w:val="24"/>
                <w:szCs w:val="24"/>
              </w:rPr>
              <w:t>整理输出完整的系统源代码，高质量完成大创项目结题报告。</w:t>
            </w:r>
          </w:p>
          <w:p w14:paraId="567887B1">
            <w:pPr>
              <w:pStyle w:val="21"/>
              <w:bidi w:val="0"/>
              <w:rPr>
                <w:rFonts w:hint="default" w:ascii="Times New Roman" w:hAnsi="Times New Roman" w:cs="Times New Roman"/>
              </w:rPr>
            </w:pPr>
            <w:r>
              <w:rPr>
                <w:rFonts w:hint="eastAsia" w:ascii="Times New Roman" w:hAnsi="Times New Roman" w:cs="Times New Roman"/>
              </w:rPr>
              <w:t>七、经费预算</w:t>
            </w:r>
          </w:p>
          <w:tbl>
            <w:tblPr>
              <w:tblStyle w:val="16"/>
              <w:tblpPr w:leftFromText="180" w:rightFromText="180" w:vertAnchor="text" w:horzAnchor="page" w:tblpX="776" w:tblpY="316"/>
              <w:tblOverlap w:val="never"/>
              <w:tblW w:w="79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84"/>
              <w:gridCol w:w="3554"/>
              <w:gridCol w:w="1232"/>
              <w:gridCol w:w="1599"/>
            </w:tblGrid>
            <w:tr w14:paraId="4579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Header/>
              </w:trPr>
              <w:tc>
                <w:tcPr>
                  <w:tcW w:w="1584" w:type="dxa"/>
                  <w:shd w:val="clear" w:color="auto" w:fill="F2F3F5"/>
                  <w:tcMar>
                    <w:top w:w="120" w:type="dxa"/>
                    <w:left w:w="120" w:type="dxa"/>
                    <w:bottom w:w="120" w:type="dxa"/>
                    <w:right w:w="120" w:type="dxa"/>
                  </w:tcMar>
                </w:tcPr>
                <w:p w14:paraId="03ECBD4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预算项目</w:t>
                  </w:r>
                </w:p>
              </w:tc>
              <w:tc>
                <w:tcPr>
                  <w:tcW w:w="3554" w:type="dxa"/>
                  <w:shd w:val="clear" w:color="auto" w:fill="F2F3F5"/>
                  <w:tcMar>
                    <w:top w:w="120" w:type="dxa"/>
                    <w:left w:w="120" w:type="dxa"/>
                    <w:bottom w:w="120" w:type="dxa"/>
                    <w:right w:w="120" w:type="dxa"/>
                  </w:tcMar>
                </w:tcPr>
                <w:p w14:paraId="3D2E854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明细内容</w:t>
                  </w:r>
                </w:p>
              </w:tc>
              <w:tc>
                <w:tcPr>
                  <w:tcW w:w="1232" w:type="dxa"/>
                  <w:shd w:val="clear" w:color="auto" w:fill="F2F3F5"/>
                  <w:tcMar>
                    <w:top w:w="120" w:type="dxa"/>
                    <w:left w:w="120" w:type="dxa"/>
                    <w:bottom w:w="120" w:type="dxa"/>
                    <w:right w:w="120" w:type="dxa"/>
                  </w:tcMar>
                </w:tcPr>
                <w:p w14:paraId="3E15173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金额（元）</w:t>
                  </w:r>
                </w:p>
              </w:tc>
              <w:tc>
                <w:tcPr>
                  <w:tcW w:w="1599" w:type="dxa"/>
                  <w:shd w:val="clear" w:color="auto" w:fill="F2F3F5"/>
                  <w:tcMar>
                    <w:top w:w="120" w:type="dxa"/>
                    <w:left w:w="120" w:type="dxa"/>
                    <w:bottom w:w="120" w:type="dxa"/>
                    <w:right w:w="120" w:type="dxa"/>
                  </w:tcMar>
                </w:tcPr>
                <w:p w14:paraId="18DF325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备注</w:t>
                  </w:r>
                </w:p>
              </w:tc>
            </w:tr>
            <w:tr w14:paraId="32E8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rPr>
              <w:tc>
                <w:tcPr>
                  <w:tcW w:w="1584" w:type="dxa"/>
                  <w:tcMar>
                    <w:top w:w="120" w:type="dxa"/>
                    <w:left w:w="120" w:type="dxa"/>
                    <w:bottom w:w="120" w:type="dxa"/>
                    <w:right w:w="120" w:type="dxa"/>
                  </w:tcMar>
                </w:tcPr>
                <w:p w14:paraId="0E120AC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资料费</w:t>
                  </w:r>
                </w:p>
              </w:tc>
              <w:tc>
                <w:tcPr>
                  <w:tcW w:w="3554" w:type="dxa"/>
                  <w:tcMar>
                    <w:top w:w="120" w:type="dxa"/>
                    <w:left w:w="120" w:type="dxa"/>
                    <w:bottom w:w="120" w:type="dxa"/>
                    <w:right w:w="120" w:type="dxa"/>
                  </w:tcMar>
                </w:tcPr>
                <w:p w14:paraId="1CC53EA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文献资料下载、论文查重、开源数据集购买、云服务器模型训练、打印装订</w:t>
                  </w:r>
                </w:p>
              </w:tc>
              <w:tc>
                <w:tcPr>
                  <w:tcW w:w="1232" w:type="dxa"/>
                  <w:tcMar>
                    <w:top w:w="120" w:type="dxa"/>
                    <w:left w:w="120" w:type="dxa"/>
                    <w:bottom w:w="120" w:type="dxa"/>
                    <w:right w:w="120" w:type="dxa"/>
                  </w:tcMar>
                </w:tcPr>
                <w:p w14:paraId="59AB1B2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800</w:t>
                  </w:r>
                </w:p>
              </w:tc>
              <w:tc>
                <w:tcPr>
                  <w:tcW w:w="1599" w:type="dxa"/>
                  <w:tcMar>
                    <w:top w:w="120" w:type="dxa"/>
                    <w:left w:w="120" w:type="dxa"/>
                    <w:bottom w:w="120" w:type="dxa"/>
                    <w:right w:w="120" w:type="dxa"/>
                  </w:tcMar>
                </w:tcPr>
                <w:p w14:paraId="0C990D4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上调经费，满足科研产出需求</w:t>
                  </w:r>
                </w:p>
              </w:tc>
            </w:tr>
            <w:tr w14:paraId="1014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rPr>
              <w:tc>
                <w:tcPr>
                  <w:tcW w:w="1584" w:type="dxa"/>
                  <w:tcMar>
                    <w:top w:w="120" w:type="dxa"/>
                    <w:left w:w="120" w:type="dxa"/>
                    <w:bottom w:w="120" w:type="dxa"/>
                    <w:right w:w="120" w:type="dxa"/>
                  </w:tcMar>
                </w:tcPr>
                <w:p w14:paraId="7E0E795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硬件设备费</w:t>
                  </w:r>
                </w:p>
              </w:tc>
              <w:tc>
                <w:tcPr>
                  <w:tcW w:w="3554" w:type="dxa"/>
                  <w:tcMar>
                    <w:top w:w="120" w:type="dxa"/>
                    <w:left w:w="120" w:type="dxa"/>
                    <w:bottom w:w="120" w:type="dxa"/>
                    <w:right w:w="120" w:type="dxa"/>
                  </w:tcMar>
                </w:tcPr>
                <w:p w14:paraId="10CE648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STM32F4开发板；OpenMV视觉摄像头；红外传感器；超声波模块；电机+驱动+行走轮子；电池+电源管理模块；设备外壳+结构件；调试工具+备用元器件+硬件损耗预留</w:t>
                  </w:r>
                </w:p>
              </w:tc>
              <w:tc>
                <w:tcPr>
                  <w:tcW w:w="1232" w:type="dxa"/>
                  <w:tcMar>
                    <w:top w:w="120" w:type="dxa"/>
                    <w:left w:w="120" w:type="dxa"/>
                    <w:bottom w:w="120" w:type="dxa"/>
                    <w:right w:w="120" w:type="dxa"/>
                  </w:tcMar>
                </w:tcPr>
                <w:p w14:paraId="5A93A14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1740</w:t>
                  </w:r>
                </w:p>
              </w:tc>
              <w:tc>
                <w:tcPr>
                  <w:tcW w:w="1599" w:type="dxa"/>
                  <w:tcMar>
                    <w:top w:w="120" w:type="dxa"/>
                    <w:left w:w="120" w:type="dxa"/>
                    <w:bottom w:w="120" w:type="dxa"/>
                    <w:right w:w="120" w:type="dxa"/>
                  </w:tcMar>
                </w:tcPr>
                <w:p w14:paraId="6F44E67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细化明细，预留15%损耗调试预算</w:t>
                  </w:r>
                </w:p>
              </w:tc>
            </w:tr>
            <w:tr w14:paraId="5EB6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rPr>
              <w:tc>
                <w:tcPr>
                  <w:tcW w:w="1584" w:type="dxa"/>
                  <w:tcMar>
                    <w:top w:w="120" w:type="dxa"/>
                    <w:left w:w="120" w:type="dxa"/>
                    <w:bottom w:w="120" w:type="dxa"/>
                    <w:right w:w="120" w:type="dxa"/>
                  </w:tcMar>
                </w:tcPr>
                <w:p w14:paraId="53AF861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其他备用费</w:t>
                  </w:r>
                </w:p>
              </w:tc>
              <w:tc>
                <w:tcPr>
                  <w:tcW w:w="3554" w:type="dxa"/>
                  <w:tcMar>
                    <w:top w:w="120" w:type="dxa"/>
                    <w:left w:w="120" w:type="dxa"/>
                    <w:bottom w:w="120" w:type="dxa"/>
                    <w:right w:w="120" w:type="dxa"/>
                  </w:tcMar>
                </w:tcPr>
                <w:p w14:paraId="401499C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社会实践活动物料、突发耗材补充、项目应急支出</w:t>
                  </w:r>
                </w:p>
              </w:tc>
              <w:tc>
                <w:tcPr>
                  <w:tcW w:w="1232" w:type="dxa"/>
                  <w:tcMar>
                    <w:top w:w="120" w:type="dxa"/>
                    <w:left w:w="120" w:type="dxa"/>
                    <w:bottom w:w="120" w:type="dxa"/>
                    <w:right w:w="120" w:type="dxa"/>
                  </w:tcMar>
                </w:tcPr>
                <w:p w14:paraId="20B037B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1110</w:t>
                  </w:r>
                </w:p>
              </w:tc>
              <w:tc>
                <w:tcPr>
                  <w:tcW w:w="1599" w:type="dxa"/>
                  <w:tcMar>
                    <w:top w:w="120" w:type="dxa"/>
                    <w:left w:w="120" w:type="dxa"/>
                    <w:bottom w:w="120" w:type="dxa"/>
                    <w:right w:w="120" w:type="dxa"/>
                  </w:tcMar>
                </w:tcPr>
                <w:p w14:paraId="34661FF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保障项目全程顺利推进</w:t>
                  </w:r>
                </w:p>
              </w:tc>
            </w:tr>
            <w:tr w14:paraId="36B3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10" w:hRule="atLeast"/>
              </w:trPr>
              <w:tc>
                <w:tcPr>
                  <w:tcW w:w="1584" w:type="dxa"/>
                  <w:tcMar>
                    <w:top w:w="120" w:type="dxa"/>
                    <w:left w:w="120" w:type="dxa"/>
                    <w:bottom w:w="120" w:type="dxa"/>
                    <w:right w:w="120" w:type="dxa"/>
                  </w:tcMar>
                </w:tcPr>
                <w:p w14:paraId="231893D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总计</w:t>
                  </w:r>
                </w:p>
              </w:tc>
              <w:tc>
                <w:tcPr>
                  <w:tcW w:w="3554" w:type="dxa"/>
                  <w:tcMar>
                    <w:top w:w="120" w:type="dxa"/>
                    <w:left w:w="120" w:type="dxa"/>
                    <w:bottom w:w="120" w:type="dxa"/>
                    <w:right w:w="120" w:type="dxa"/>
                  </w:tcMar>
                </w:tcPr>
                <w:p w14:paraId="5E667275">
                  <w:pPr>
                    <w:rPr>
                      <w:rFonts w:hint="default" w:ascii="Times New Roman" w:hAnsi="Times New Roman" w:eastAsia="宋体" w:cs="Times New Roman"/>
                      <w:sz w:val="24"/>
                      <w:szCs w:val="24"/>
                    </w:rPr>
                  </w:pPr>
                </w:p>
              </w:tc>
              <w:tc>
                <w:tcPr>
                  <w:tcW w:w="1232" w:type="dxa"/>
                  <w:tcMar>
                    <w:top w:w="120" w:type="dxa"/>
                    <w:left w:w="120" w:type="dxa"/>
                    <w:bottom w:w="120" w:type="dxa"/>
                    <w:right w:w="120" w:type="dxa"/>
                  </w:tcMar>
                </w:tcPr>
                <w:p w14:paraId="3B7892B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4400</w:t>
                  </w:r>
                </w:p>
              </w:tc>
              <w:tc>
                <w:tcPr>
                  <w:tcW w:w="1599" w:type="dxa"/>
                  <w:tcMar>
                    <w:top w:w="120" w:type="dxa"/>
                    <w:left w:w="120" w:type="dxa"/>
                    <w:bottom w:w="120" w:type="dxa"/>
                    <w:right w:w="120" w:type="dxa"/>
                  </w:tcMar>
                </w:tcPr>
                <w:p w14:paraId="2AD78DAB">
                  <w:pPr>
                    <w:rPr>
                      <w:rFonts w:hint="default" w:ascii="Times New Roman" w:hAnsi="Times New Roman" w:eastAsia="宋体" w:cs="Times New Roman"/>
                      <w:sz w:val="24"/>
                      <w:szCs w:val="24"/>
                    </w:rPr>
                  </w:pPr>
                </w:p>
              </w:tc>
            </w:tr>
          </w:tbl>
          <w:p w14:paraId="6D35B062">
            <w:pPr>
              <w:keepNext w:val="0"/>
              <w:keepLines w:val="0"/>
              <w:pageBreakBefore w:val="0"/>
              <w:widowControl w:val="0"/>
              <w:numPr>
                <w:numId w:val="0"/>
              </w:numPr>
              <w:kinsoku/>
              <w:wordWrap/>
              <w:overflowPunct/>
              <w:topLinePunct w:val="0"/>
              <w:autoSpaceDE/>
              <w:autoSpaceDN/>
              <w:bidi w:val="0"/>
              <w:adjustRightInd/>
              <w:snapToGrid/>
              <w:spacing w:line="420" w:lineRule="exact"/>
              <w:textAlignment w:val="auto"/>
              <w:rPr>
                <w:rFonts w:hint="default" w:ascii="宋体" w:hAnsi="宋体" w:eastAsia="宋体" w:cs="宋体"/>
                <w:sz w:val="24"/>
                <w:szCs w:val="24"/>
                <w:lang w:val="en-US" w:eastAsia="zh-CN"/>
              </w:rPr>
            </w:pPr>
          </w:p>
        </w:tc>
      </w:tr>
      <w:tr w14:paraId="3EAD2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71" w:hRule="atLeast"/>
        </w:trPr>
        <w:tc>
          <w:tcPr>
            <w:tcW w:w="9734" w:type="dxa"/>
            <w:gridSpan w:val="8"/>
          </w:tcPr>
          <w:p w14:paraId="2E1AB003">
            <w:pPr>
              <w:spacing w:before="304" w:beforeLines="50"/>
              <w:rPr>
                <w:b/>
                <w:sz w:val="24"/>
              </w:rPr>
            </w:pPr>
            <w:r>
              <w:rPr>
                <w:rFonts w:hint="eastAsia"/>
                <w:b/>
                <w:sz w:val="24"/>
              </w:rPr>
              <w:t>八、导师推荐意见</w:t>
            </w:r>
          </w:p>
          <w:p w14:paraId="50DF2ACC">
            <w:pPr>
              <w:keepNext w:val="0"/>
              <w:keepLines w:val="0"/>
              <w:pageBreakBefore w:val="0"/>
              <w:widowControl w:val="0"/>
              <w:kinsoku/>
              <w:wordWrap/>
              <w:overflowPunct/>
              <w:topLinePunct w:val="0"/>
              <w:autoSpaceDE/>
              <w:autoSpaceDN/>
              <w:bidi w:val="0"/>
              <w:adjustRightInd/>
              <w:snapToGrid/>
              <w:spacing w:before="304" w:beforeLines="50" w:line="240" w:lineRule="auto"/>
              <w:ind w:firstLine="552" w:firstLineChars="200"/>
              <w:textAlignment w:val="auto"/>
              <w:rPr>
                <w:rFonts w:hAnsi="宋体"/>
                <w:sz w:val="28"/>
                <w:szCs w:val="28"/>
              </w:rPr>
            </w:pPr>
            <w:r>
              <w:rPr>
                <w:rFonts w:hint="eastAsia" w:hAnsi="宋体"/>
                <w:sz w:val="28"/>
                <w:szCs w:val="28"/>
              </w:rPr>
              <w:t>该项目设计了一款基于多传感器融合与STM32的自主伴随式机器人。系统实现了视觉追踪、动态避障、远程交互及隐藏式喂食等功能，技术路线清晰，软硬件协同完整。项目涵盖嵌入式开发、传感器融合与无线通信等环节，能有效锻炼学生的系统集成与工程实践能力。作品应用指向明确，具备良好的创新性与研究基础。本人同意推荐。</w:t>
            </w:r>
          </w:p>
          <w:p w14:paraId="18CD37B6">
            <w:pPr>
              <w:rPr>
                <w:sz w:val="24"/>
              </w:rPr>
            </w:pPr>
          </w:p>
          <w:p w14:paraId="13DEFCFD">
            <w:pPr>
              <w:ind w:right="480"/>
              <w:jc w:val="center"/>
              <w:rPr>
                <w:sz w:val="24"/>
              </w:rPr>
            </w:pPr>
            <w:r>
              <w:rPr>
                <w:rFonts w:hint="eastAsia"/>
                <w:sz w:val="24"/>
              </w:rPr>
              <w:t xml:space="preserve">                                     签名： </w:t>
            </w:r>
            <w:r>
              <w:rPr>
                <w:rFonts w:hint="eastAsia" w:eastAsia="宋体"/>
                <w:sz w:val="24"/>
                <w:lang w:eastAsia="zh-CN"/>
              </w:rPr>
              <w:drawing>
                <wp:inline distT="0" distB="0" distL="114300" distR="114300">
                  <wp:extent cx="772160" cy="476250"/>
                  <wp:effectExtent l="0" t="0" r="8890" b="0"/>
                  <wp:docPr id="1" name="图片 1" descr="宋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宋莺"/>
                          <pic:cNvPicPr>
                            <a:picLocks noChangeAspect="1"/>
                          </pic:cNvPicPr>
                        </pic:nvPicPr>
                        <pic:blipFill>
                          <a:blip r:embed="rId11"/>
                          <a:stretch>
                            <a:fillRect/>
                          </a:stretch>
                        </pic:blipFill>
                        <pic:spPr>
                          <a:xfrm>
                            <a:off x="0" y="0"/>
                            <a:ext cx="772160" cy="476250"/>
                          </a:xfrm>
                          <a:prstGeom prst="rect">
                            <a:avLst/>
                          </a:prstGeom>
                        </pic:spPr>
                      </pic:pic>
                    </a:graphicData>
                  </a:graphic>
                </wp:inline>
              </w:drawing>
            </w:r>
          </w:p>
          <w:p w14:paraId="6C9C2E67">
            <w:pPr>
              <w:spacing w:before="304" w:beforeLines="50"/>
              <w:rPr>
                <w:b/>
                <w:sz w:val="24"/>
              </w:rPr>
            </w:pPr>
            <w:r>
              <w:rPr>
                <w:rFonts w:hint="eastAsia"/>
                <w:sz w:val="24"/>
              </w:rPr>
              <w:t xml:space="preserve">                                                </w:t>
            </w:r>
            <w:r>
              <w:rPr>
                <w:rFonts w:hint="eastAsia"/>
                <w:sz w:val="24"/>
                <w:lang w:val="en-US" w:eastAsia="zh-CN"/>
              </w:rPr>
              <w:t>2026</w:t>
            </w:r>
            <w:r>
              <w:rPr>
                <w:rFonts w:hint="eastAsia"/>
                <w:sz w:val="24"/>
              </w:rPr>
              <w:t xml:space="preserve">年  </w:t>
            </w:r>
            <w:r>
              <w:rPr>
                <w:rFonts w:hint="eastAsia"/>
                <w:sz w:val="24"/>
                <w:lang w:val="en-US" w:eastAsia="zh-CN"/>
              </w:rPr>
              <w:t xml:space="preserve">6 </w:t>
            </w:r>
            <w:r>
              <w:rPr>
                <w:rFonts w:hint="eastAsia"/>
                <w:sz w:val="24"/>
              </w:rPr>
              <w:t xml:space="preserve">月 </w:t>
            </w:r>
            <w:r>
              <w:rPr>
                <w:rFonts w:hint="eastAsia"/>
                <w:sz w:val="24"/>
                <w:lang w:val="en-US" w:eastAsia="zh-CN"/>
              </w:rPr>
              <w:t xml:space="preserve">5 </w:t>
            </w:r>
            <w:r>
              <w:rPr>
                <w:rFonts w:hint="eastAsia"/>
                <w:sz w:val="24"/>
              </w:rPr>
              <w:t>日</w:t>
            </w:r>
          </w:p>
        </w:tc>
      </w:tr>
      <w:tr w14:paraId="7FA1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87" w:hRule="atLeast"/>
        </w:trPr>
        <w:tc>
          <w:tcPr>
            <w:tcW w:w="9734" w:type="dxa"/>
            <w:gridSpan w:val="8"/>
          </w:tcPr>
          <w:p w14:paraId="1349D95B">
            <w:pPr>
              <w:spacing w:before="304" w:beforeLines="50"/>
              <w:rPr>
                <w:b/>
                <w:sz w:val="24"/>
              </w:rPr>
            </w:pPr>
            <w:r>
              <w:rPr>
                <w:rFonts w:hint="eastAsia"/>
                <w:b/>
                <w:sz w:val="24"/>
              </w:rPr>
              <w:t>九、院系推荐意见</w:t>
            </w:r>
          </w:p>
          <w:p w14:paraId="13243FFE">
            <w:pPr>
              <w:spacing w:before="304" w:beforeLines="50"/>
              <w:rPr>
                <w:b/>
                <w:sz w:val="24"/>
              </w:rPr>
            </w:pPr>
          </w:p>
          <w:p w14:paraId="70B7B522">
            <w:pPr>
              <w:spacing w:before="304" w:beforeLines="50"/>
              <w:rPr>
                <w:b/>
                <w:sz w:val="24"/>
              </w:rPr>
            </w:pPr>
          </w:p>
          <w:p w14:paraId="52ACCC97">
            <w:pPr>
              <w:spacing w:before="304" w:beforeLines="50"/>
              <w:ind w:firstLine="2659" w:firstLineChars="1127"/>
              <w:rPr>
                <w:b/>
                <w:sz w:val="24"/>
              </w:rPr>
            </w:pPr>
          </w:p>
          <w:p w14:paraId="4A31A4C8">
            <w:pPr>
              <w:ind w:firstLine="3068" w:firstLineChars="1300"/>
              <w:rPr>
                <w:b/>
                <w:sz w:val="24"/>
              </w:rPr>
            </w:pPr>
          </w:p>
          <w:p w14:paraId="6D8B6405">
            <w:pPr>
              <w:ind w:firstLine="3658" w:firstLineChars="1550"/>
              <w:rPr>
                <w:sz w:val="24"/>
              </w:rPr>
            </w:pPr>
            <w:r>
              <w:rPr>
                <w:rFonts w:hint="eastAsia"/>
                <w:sz w:val="24"/>
              </w:rPr>
              <w:t>院系负责人签名：          学院盖章</w:t>
            </w:r>
          </w:p>
          <w:p w14:paraId="17890C14">
            <w:pPr>
              <w:spacing w:before="304" w:beforeLines="50"/>
              <w:rPr>
                <w:b/>
                <w:sz w:val="24"/>
              </w:rPr>
            </w:pPr>
            <w:r>
              <w:rPr>
                <w:rFonts w:hint="eastAsia"/>
                <w:sz w:val="24"/>
              </w:rPr>
              <w:t xml:space="preserve">                                                           年   月    日</w:t>
            </w:r>
          </w:p>
        </w:tc>
      </w:tr>
      <w:tr w14:paraId="1E75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3" w:hRule="atLeast"/>
        </w:trPr>
        <w:tc>
          <w:tcPr>
            <w:tcW w:w="9734" w:type="dxa"/>
            <w:gridSpan w:val="8"/>
          </w:tcPr>
          <w:p w14:paraId="63D2FD42">
            <w:pPr>
              <w:spacing w:before="304" w:beforeLines="50"/>
              <w:rPr>
                <w:sz w:val="24"/>
              </w:rPr>
            </w:pPr>
            <w:r>
              <w:rPr>
                <w:rFonts w:hint="eastAsia"/>
                <w:b/>
                <w:sz w:val="24"/>
              </w:rPr>
              <w:t>十、学校推荐意见：</w:t>
            </w:r>
          </w:p>
          <w:p w14:paraId="304ABC19">
            <w:pPr>
              <w:rPr>
                <w:sz w:val="24"/>
              </w:rPr>
            </w:pPr>
          </w:p>
          <w:p w14:paraId="3E1ECCDF">
            <w:pPr>
              <w:rPr>
                <w:sz w:val="24"/>
              </w:rPr>
            </w:pPr>
          </w:p>
          <w:p w14:paraId="3EA64CEC">
            <w:pPr>
              <w:rPr>
                <w:sz w:val="24"/>
              </w:rPr>
            </w:pPr>
          </w:p>
          <w:p w14:paraId="0CE1BF45">
            <w:pPr>
              <w:rPr>
                <w:sz w:val="24"/>
              </w:rPr>
            </w:pPr>
          </w:p>
          <w:p w14:paraId="4B73831F">
            <w:pPr>
              <w:rPr>
                <w:sz w:val="24"/>
              </w:rPr>
            </w:pPr>
          </w:p>
          <w:p w14:paraId="297A19EC">
            <w:pPr>
              <w:snapToGrid w:val="0"/>
              <w:rPr>
                <w:rFonts w:hAnsi="宋体"/>
                <w:sz w:val="24"/>
              </w:rPr>
            </w:pPr>
          </w:p>
          <w:p w14:paraId="4C414E85">
            <w:pPr>
              <w:snapToGrid w:val="0"/>
              <w:jc w:val="center"/>
              <w:rPr>
                <w:rFonts w:hAnsi="宋体"/>
                <w:sz w:val="24"/>
              </w:rPr>
            </w:pPr>
            <w:r>
              <w:rPr>
                <w:rFonts w:hint="eastAsia" w:hAnsi="宋体"/>
                <w:sz w:val="24"/>
              </w:rPr>
              <w:t xml:space="preserve">                            学校负责人签名：        学校盖章 </w:t>
            </w:r>
          </w:p>
          <w:p w14:paraId="006E31B7">
            <w:pPr>
              <w:jc w:val="right"/>
              <w:rPr>
                <w:sz w:val="24"/>
              </w:rPr>
            </w:pPr>
            <w:r>
              <w:rPr>
                <w:rFonts w:hint="eastAsia"/>
                <w:sz w:val="24"/>
              </w:rPr>
              <w:t xml:space="preserve">                年   月    日</w:t>
            </w:r>
          </w:p>
        </w:tc>
      </w:tr>
      <w:tr w14:paraId="7047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9" w:hRule="atLeast"/>
        </w:trPr>
        <w:tc>
          <w:tcPr>
            <w:tcW w:w="9734" w:type="dxa"/>
            <w:gridSpan w:val="8"/>
          </w:tcPr>
          <w:p w14:paraId="2E2FB7BF">
            <w:pPr>
              <w:spacing w:before="304" w:beforeLines="50"/>
              <w:rPr>
                <w:b/>
                <w:sz w:val="24"/>
              </w:rPr>
            </w:pPr>
            <w:r>
              <w:rPr>
                <w:rFonts w:hint="eastAsia"/>
                <w:b/>
                <w:sz w:val="24"/>
              </w:rPr>
              <w:t>十一、主管部门评审意见：</w:t>
            </w:r>
          </w:p>
          <w:p w14:paraId="77A8E2CD">
            <w:pPr>
              <w:spacing w:before="304" w:beforeLines="50"/>
              <w:rPr>
                <w:b/>
                <w:sz w:val="24"/>
              </w:rPr>
            </w:pPr>
          </w:p>
          <w:p w14:paraId="793F4435">
            <w:pPr>
              <w:spacing w:before="304" w:beforeLines="50"/>
              <w:rPr>
                <w:b/>
                <w:sz w:val="24"/>
              </w:rPr>
            </w:pPr>
          </w:p>
          <w:p w14:paraId="2511D4D0">
            <w:pPr>
              <w:snapToGrid w:val="0"/>
              <w:jc w:val="center"/>
              <w:rPr>
                <w:b/>
                <w:sz w:val="24"/>
              </w:rPr>
            </w:pPr>
            <w:r>
              <w:rPr>
                <w:rFonts w:hint="eastAsia"/>
                <w:b/>
                <w:sz w:val="24"/>
              </w:rPr>
              <w:t xml:space="preserve">                                                   </w:t>
            </w:r>
            <w:r>
              <w:rPr>
                <w:rFonts w:hint="eastAsia" w:hAnsi="宋体"/>
                <w:sz w:val="24"/>
              </w:rPr>
              <w:t xml:space="preserve">   单位盖章</w:t>
            </w:r>
          </w:p>
          <w:p w14:paraId="381DF4DF">
            <w:pPr>
              <w:spacing w:before="304" w:beforeLines="50"/>
              <w:jc w:val="right"/>
              <w:rPr>
                <w:b/>
                <w:sz w:val="24"/>
              </w:rPr>
            </w:pPr>
            <w:r>
              <w:rPr>
                <w:rFonts w:hint="eastAsia"/>
                <w:sz w:val="24"/>
              </w:rPr>
              <w:t xml:space="preserve">  年   月    日</w:t>
            </w:r>
          </w:p>
        </w:tc>
      </w:tr>
    </w:tbl>
    <w:p w14:paraId="77D775F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sz w:val="24"/>
          <w:szCs w:val="24"/>
          <w:lang w:val="en-US" w:eastAsia="zh-CN"/>
        </w:rPr>
      </w:pPr>
    </w:p>
    <w:sectPr>
      <w:footerReference r:id="rId3" w:type="even"/>
      <w:pgSz w:w="11906" w:h="16838"/>
      <w:pgMar w:top="1440" w:right="1060" w:bottom="1134" w:left="1106" w:header="851" w:footer="1247" w:gutter="0"/>
      <w:cols w:space="425" w:num="1"/>
      <w:titlePg/>
      <w:docGrid w:type="linesAndChars" w:linePitch="608"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3E1FB214-BF89-4EF3-BCDB-92171AAFDEE3}"/>
  </w:font>
  <w:font w:name="Arial">
    <w:panose1 w:val="020B0604020202020204"/>
    <w:charset w:val="01"/>
    <w:family w:val="swiss"/>
    <w:pitch w:val="default"/>
    <w:sig w:usb0="E0002EFF" w:usb1="C000785B" w:usb2="00000009" w:usb3="00000000" w:csb0="400001FF" w:csb1="FFFF0000"/>
    <w:embedRegular r:id="rId2" w:fontKey="{C24A72A6-21ED-4ADF-806C-3B3A50A9B0D0}"/>
  </w:font>
  <w:font w:name="黑体">
    <w:panose1 w:val="02010609060101010101"/>
    <w:charset w:val="86"/>
    <w:family w:val="auto"/>
    <w:pitch w:val="default"/>
    <w:sig w:usb0="800002BF" w:usb1="38CF7CFA" w:usb2="00000016" w:usb3="00000000" w:csb0="00040001" w:csb1="00000000"/>
    <w:embedRegular r:id="rId3" w:fontKey="{20158DB1-D314-427E-9D8F-AA14CA24A3B5}"/>
  </w:font>
  <w:font w:name="Courier New">
    <w:panose1 w:val="02070309020205020404"/>
    <w:charset w:val="01"/>
    <w:family w:val="modern"/>
    <w:pitch w:val="default"/>
    <w:sig w:usb0="E0002EFF" w:usb1="C0007843" w:usb2="00000009" w:usb3="00000000" w:csb0="400001FF" w:csb1="FFFF0000"/>
    <w:embedRegular r:id="rId4" w:fontKey="{77C018C9-4E92-474E-BE35-AB7E27810FE6}"/>
  </w:font>
  <w:font w:name="Symbol">
    <w:panose1 w:val="05050102010706020507"/>
    <w:charset w:val="02"/>
    <w:family w:val="roman"/>
    <w:pitch w:val="default"/>
    <w:sig w:usb0="00000000" w:usb1="00000000" w:usb2="00000000" w:usb3="00000000" w:csb0="80000000" w:csb1="00000000"/>
    <w:embedRegular r:id="rId5" w:fontKey="{C959ABC2-0DD0-4F6B-A9A6-0455A0A69687}"/>
  </w:font>
  <w:font w:name="Calibri">
    <w:panose1 w:val="020F0502020204030204"/>
    <w:charset w:val="00"/>
    <w:family w:val="swiss"/>
    <w:pitch w:val="default"/>
    <w:sig w:usb0="E4002EFF" w:usb1="C000247B" w:usb2="00000009" w:usb3="00000000" w:csb0="200001FF" w:csb1="00000000"/>
    <w:embedRegular r:id="rId6" w:fontKey="{887C40C2-A753-4020-A2E9-F5B1BDC10191}"/>
  </w:font>
  <w:font w:name="仿宋_GB2312">
    <w:altName w:val="仿宋"/>
    <w:panose1 w:val="00000000000000000000"/>
    <w:charset w:val="00"/>
    <w:family w:val="auto"/>
    <w:pitch w:val="default"/>
    <w:sig w:usb0="00000000" w:usb1="00000000" w:usb2="00000000" w:usb3="00000000" w:csb0="00000000" w:csb1="00000000"/>
    <w:embedRegular r:id="rId7" w:fontKey="{61B7856D-1BEF-451D-A8A0-2FFC0D3D6669}"/>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embedRegular r:id="rId8" w:fontKey="{64452451-5EA0-4B65-A3C9-5F66B9437F4A}"/>
  </w:font>
  <w:font w:name="方正小标宋简体">
    <w:panose1 w:val="02000000000000000000"/>
    <w:charset w:val="86"/>
    <w:family w:val="script"/>
    <w:pitch w:val="default"/>
    <w:sig w:usb0="00000001" w:usb1="08000000" w:usb2="00000000" w:usb3="00000000" w:csb0="00040000" w:csb1="00000000"/>
    <w:embedRegular r:id="rId9" w:fontKey="{2C200C83-6124-4B2B-88D7-4E88EAB9949E}"/>
  </w:font>
  <w:font w:name="Segoe UI Symbol">
    <w:panose1 w:val="020B0502040204020203"/>
    <w:charset w:val="00"/>
    <w:family w:val="swiss"/>
    <w:pitch w:val="default"/>
    <w:sig w:usb0="800001E3" w:usb1="1200FFEF" w:usb2="00040000" w:usb3="04000000" w:csb0="00000001" w:csb1="40000000"/>
    <w:embedRegular r:id="rId10" w:fontKey="{6AFCB01B-E6FF-4338-BD90-21C4A07448F6}"/>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embedRegular r:id="rId11" w:fontKey="{C12BF0F3-4B7A-4036-BAFA-F093F7FC552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05842">
    <w:pPr>
      <w:framePr w:wrap="around" w:vAnchor="text" w:hAnchor="margin" w:xAlign="right" w:y="1"/>
      <w:rPr>
        <w:rStyle w:val="19"/>
      </w:rPr>
    </w:pPr>
    <w:r>
      <w:rPr>
        <w:rStyle w:val="19"/>
      </w:rPr>
      <w:fldChar w:fldCharType="begin"/>
    </w:r>
    <w:r>
      <w:rPr>
        <w:rStyle w:val="19"/>
      </w:rPr>
      <w:instrText xml:space="preserve">PAGE  </w:instrText>
    </w:r>
    <w:r>
      <w:rPr>
        <w:rStyle w:val="19"/>
      </w:rPr>
      <w:fldChar w:fldCharType="end"/>
    </w:r>
  </w:p>
  <w:p w14:paraId="35A6A2DC">
    <w:pPr>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8BFD00"/>
    <w:multiLevelType w:val="singleLevel"/>
    <w:tmpl w:val="7D8BFD00"/>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315"/>
  <w:drawingGridVerticalSpacing w:val="304"/>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k4YWRmNDY3MjVlMzllNmQ1OWM4YzllMmNmZDE4MmQifQ=="/>
  </w:docVars>
  <w:rsids>
    <w:rsidRoot w:val="00B20473"/>
    <w:rsid w:val="00000B00"/>
    <w:rsid w:val="000016DF"/>
    <w:rsid w:val="00050265"/>
    <w:rsid w:val="000533AA"/>
    <w:rsid w:val="00055255"/>
    <w:rsid w:val="000556C3"/>
    <w:rsid w:val="0009234F"/>
    <w:rsid w:val="0009419B"/>
    <w:rsid w:val="000B454F"/>
    <w:rsid w:val="000C78B7"/>
    <w:rsid w:val="000E39A5"/>
    <w:rsid w:val="0013064E"/>
    <w:rsid w:val="001357E4"/>
    <w:rsid w:val="00184A92"/>
    <w:rsid w:val="001850D6"/>
    <w:rsid w:val="001A4923"/>
    <w:rsid w:val="001B5E6F"/>
    <w:rsid w:val="001C2BB0"/>
    <w:rsid w:val="001D6C10"/>
    <w:rsid w:val="00253B12"/>
    <w:rsid w:val="00270F64"/>
    <w:rsid w:val="002764DA"/>
    <w:rsid w:val="0028020E"/>
    <w:rsid w:val="002919E9"/>
    <w:rsid w:val="002A26BC"/>
    <w:rsid w:val="002C1716"/>
    <w:rsid w:val="002C3415"/>
    <w:rsid w:val="002D6ED6"/>
    <w:rsid w:val="002E386C"/>
    <w:rsid w:val="002E3B43"/>
    <w:rsid w:val="002E45B2"/>
    <w:rsid w:val="002E5A1E"/>
    <w:rsid w:val="00327E54"/>
    <w:rsid w:val="00356DB6"/>
    <w:rsid w:val="00360461"/>
    <w:rsid w:val="00371BC5"/>
    <w:rsid w:val="00394404"/>
    <w:rsid w:val="003A053E"/>
    <w:rsid w:val="003B2828"/>
    <w:rsid w:val="003B351E"/>
    <w:rsid w:val="003D75B3"/>
    <w:rsid w:val="003F733D"/>
    <w:rsid w:val="003F7BE1"/>
    <w:rsid w:val="0040003F"/>
    <w:rsid w:val="00405A84"/>
    <w:rsid w:val="00447A01"/>
    <w:rsid w:val="00447D2F"/>
    <w:rsid w:val="00477C5E"/>
    <w:rsid w:val="00491490"/>
    <w:rsid w:val="00496B41"/>
    <w:rsid w:val="00496F37"/>
    <w:rsid w:val="004B0810"/>
    <w:rsid w:val="004C014F"/>
    <w:rsid w:val="004E6380"/>
    <w:rsid w:val="00522A6F"/>
    <w:rsid w:val="005842AC"/>
    <w:rsid w:val="005A47E9"/>
    <w:rsid w:val="005A5C90"/>
    <w:rsid w:val="005C2CEB"/>
    <w:rsid w:val="005E0D20"/>
    <w:rsid w:val="005F0A3D"/>
    <w:rsid w:val="00647529"/>
    <w:rsid w:val="00667988"/>
    <w:rsid w:val="00671180"/>
    <w:rsid w:val="006829A8"/>
    <w:rsid w:val="006A004F"/>
    <w:rsid w:val="006E63C8"/>
    <w:rsid w:val="006E6A05"/>
    <w:rsid w:val="006F05A1"/>
    <w:rsid w:val="006F4AA5"/>
    <w:rsid w:val="00727667"/>
    <w:rsid w:val="00733A0E"/>
    <w:rsid w:val="007634AC"/>
    <w:rsid w:val="007B433F"/>
    <w:rsid w:val="007B71C4"/>
    <w:rsid w:val="007E607B"/>
    <w:rsid w:val="007F18B0"/>
    <w:rsid w:val="00810DC8"/>
    <w:rsid w:val="00836290"/>
    <w:rsid w:val="0085419F"/>
    <w:rsid w:val="00881DDC"/>
    <w:rsid w:val="008C79C6"/>
    <w:rsid w:val="008D1BBE"/>
    <w:rsid w:val="008F163C"/>
    <w:rsid w:val="008F263E"/>
    <w:rsid w:val="008F5DDE"/>
    <w:rsid w:val="008F72F0"/>
    <w:rsid w:val="00900878"/>
    <w:rsid w:val="00983A0A"/>
    <w:rsid w:val="009C4068"/>
    <w:rsid w:val="009D2871"/>
    <w:rsid w:val="009E1CF0"/>
    <w:rsid w:val="009E294C"/>
    <w:rsid w:val="009F2B83"/>
    <w:rsid w:val="00A03358"/>
    <w:rsid w:val="00A110EF"/>
    <w:rsid w:val="00A12542"/>
    <w:rsid w:val="00A327E0"/>
    <w:rsid w:val="00A72F6B"/>
    <w:rsid w:val="00A9120B"/>
    <w:rsid w:val="00A97C85"/>
    <w:rsid w:val="00A97F64"/>
    <w:rsid w:val="00AA41FF"/>
    <w:rsid w:val="00AA544A"/>
    <w:rsid w:val="00AB22BF"/>
    <w:rsid w:val="00AC46DA"/>
    <w:rsid w:val="00B10FD8"/>
    <w:rsid w:val="00B135BA"/>
    <w:rsid w:val="00B20473"/>
    <w:rsid w:val="00B23D33"/>
    <w:rsid w:val="00B6010E"/>
    <w:rsid w:val="00B7401B"/>
    <w:rsid w:val="00B8332D"/>
    <w:rsid w:val="00BA4BEF"/>
    <w:rsid w:val="00BB0C64"/>
    <w:rsid w:val="00BE6C3E"/>
    <w:rsid w:val="00BE7AF0"/>
    <w:rsid w:val="00C234BB"/>
    <w:rsid w:val="00C27E13"/>
    <w:rsid w:val="00C35B4E"/>
    <w:rsid w:val="00C61723"/>
    <w:rsid w:val="00C77C84"/>
    <w:rsid w:val="00C870AB"/>
    <w:rsid w:val="00CB732A"/>
    <w:rsid w:val="00CE5189"/>
    <w:rsid w:val="00D0133E"/>
    <w:rsid w:val="00DA270F"/>
    <w:rsid w:val="00DD7222"/>
    <w:rsid w:val="00DE1A23"/>
    <w:rsid w:val="00DE64CD"/>
    <w:rsid w:val="00E462B9"/>
    <w:rsid w:val="00E546AA"/>
    <w:rsid w:val="00EA61B1"/>
    <w:rsid w:val="00EB5363"/>
    <w:rsid w:val="00EC64AF"/>
    <w:rsid w:val="00EE1AF1"/>
    <w:rsid w:val="00EE370D"/>
    <w:rsid w:val="00F145C3"/>
    <w:rsid w:val="00F86768"/>
    <w:rsid w:val="00FA1094"/>
    <w:rsid w:val="00FA166A"/>
    <w:rsid w:val="00FA2E7B"/>
    <w:rsid w:val="00FB4D39"/>
    <w:rsid w:val="01A22C15"/>
    <w:rsid w:val="022C2245"/>
    <w:rsid w:val="02847D1E"/>
    <w:rsid w:val="04762137"/>
    <w:rsid w:val="07633660"/>
    <w:rsid w:val="07F25F48"/>
    <w:rsid w:val="0B434EAC"/>
    <w:rsid w:val="0BC96FF0"/>
    <w:rsid w:val="0C5F714F"/>
    <w:rsid w:val="0DDD673A"/>
    <w:rsid w:val="0F2F794F"/>
    <w:rsid w:val="0FA93F6C"/>
    <w:rsid w:val="10D90BFB"/>
    <w:rsid w:val="127A78E7"/>
    <w:rsid w:val="13A505D8"/>
    <w:rsid w:val="14FD1AE2"/>
    <w:rsid w:val="173C30E8"/>
    <w:rsid w:val="176A116E"/>
    <w:rsid w:val="186F4E86"/>
    <w:rsid w:val="2C535AF3"/>
    <w:rsid w:val="2E7C10B5"/>
    <w:rsid w:val="2F09363D"/>
    <w:rsid w:val="36604B4F"/>
    <w:rsid w:val="36E167AC"/>
    <w:rsid w:val="3D940332"/>
    <w:rsid w:val="3DA37BAD"/>
    <w:rsid w:val="45C0578C"/>
    <w:rsid w:val="478236BD"/>
    <w:rsid w:val="48EB44D7"/>
    <w:rsid w:val="49822AAD"/>
    <w:rsid w:val="4BB723E6"/>
    <w:rsid w:val="4DD12B1F"/>
    <w:rsid w:val="503D3F0A"/>
    <w:rsid w:val="5156444F"/>
    <w:rsid w:val="5478383B"/>
    <w:rsid w:val="54B12E65"/>
    <w:rsid w:val="55686E01"/>
    <w:rsid w:val="58086CAC"/>
    <w:rsid w:val="593F6D80"/>
    <w:rsid w:val="5DE12464"/>
    <w:rsid w:val="6D8979C2"/>
    <w:rsid w:val="6E5B5C8C"/>
    <w:rsid w:val="6EC32CE3"/>
    <w:rsid w:val="6EF03395"/>
    <w:rsid w:val="7485408D"/>
    <w:rsid w:val="78497620"/>
    <w:rsid w:val="790F4D60"/>
    <w:rsid w:val="7B3E5F69"/>
    <w:rsid w:val="7D415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eastAsia="黑体" w:asciiTheme="majorHAnsi" w:hAnsiTheme="majorHAnsi" w:cstheme="majorBidi"/>
      <w:sz w:val="20"/>
    </w:rPr>
  </w:style>
  <w:style w:type="paragraph" w:styleId="7">
    <w:name w:val="annotation text"/>
    <w:basedOn w:val="1"/>
    <w:semiHidden/>
    <w:unhideWhenUsed/>
    <w:qFormat/>
    <w:uiPriority w:val="0"/>
    <w:pPr>
      <w:jc w:val="left"/>
    </w:pPr>
  </w:style>
  <w:style w:type="paragraph" w:styleId="8">
    <w:name w:val="Body Text Indent"/>
    <w:basedOn w:val="1"/>
    <w:qFormat/>
    <w:uiPriority w:val="0"/>
    <w:pPr>
      <w:ind w:firstLine="576"/>
    </w:pPr>
  </w:style>
  <w:style w:type="paragraph" w:styleId="9">
    <w:name w:val="Plain Text"/>
    <w:basedOn w:val="1"/>
    <w:qFormat/>
    <w:uiPriority w:val="0"/>
    <w:rPr>
      <w:rFonts w:ascii="宋体" w:hAnsi="Courier New"/>
    </w:rPr>
  </w:style>
  <w:style w:type="paragraph" w:styleId="10">
    <w:name w:val="Date"/>
    <w:basedOn w:val="1"/>
    <w:next w:val="1"/>
    <w:qFormat/>
    <w:uiPriority w:val="0"/>
    <w:rPr>
      <w:rFonts w:ascii="宋体" w:eastAsia="宋体"/>
      <w:sz w:val="28"/>
    </w:rPr>
  </w:style>
  <w:style w:type="paragraph" w:styleId="11">
    <w:name w:val="Balloon Text"/>
    <w:basedOn w:val="1"/>
    <w:semiHidden/>
    <w:qFormat/>
    <w:uiPriority w:val="0"/>
    <w:rPr>
      <w:sz w:val="18"/>
      <w:szCs w:val="18"/>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rPr>
  </w:style>
  <w:style w:type="paragraph" w:styleId="14">
    <w:name w:val="Body Text Indent 3"/>
    <w:basedOn w:val="1"/>
    <w:qFormat/>
    <w:uiPriority w:val="0"/>
    <w:pPr>
      <w:spacing w:line="560" w:lineRule="exact"/>
      <w:ind w:firstLine="615"/>
    </w:pPr>
  </w:style>
  <w:style w:type="paragraph" w:styleId="15">
    <w:name w:val="Normal (Web)"/>
    <w:basedOn w:val="1"/>
    <w:semiHidden/>
    <w:unhideWhenUsed/>
    <w:qFormat/>
    <w:uiPriority w:val="0"/>
    <w:pPr>
      <w:spacing w:beforeAutospacing="1" w:afterAutospacing="1"/>
      <w:jc w:val="left"/>
    </w:pPr>
    <w:rPr>
      <w:kern w:val="0"/>
      <w:sz w:val="24"/>
    </w:rPr>
  </w:style>
  <w:style w:type="character" w:styleId="18">
    <w:name w:val="Strong"/>
    <w:basedOn w:val="17"/>
    <w:qFormat/>
    <w:uiPriority w:val="22"/>
    <w:rPr>
      <w:b/>
      <w:bCs/>
    </w:rPr>
  </w:style>
  <w:style w:type="character" w:styleId="19">
    <w:name w:val="page number"/>
    <w:basedOn w:val="17"/>
    <w:qFormat/>
    <w:uiPriority w:val="0"/>
  </w:style>
  <w:style w:type="character" w:styleId="20">
    <w:name w:val="Hyperlink"/>
    <w:basedOn w:val="17"/>
    <w:qFormat/>
    <w:uiPriority w:val="0"/>
    <w:rPr>
      <w:color w:val="0000FF"/>
      <w:u w:val="single"/>
    </w:rPr>
  </w:style>
  <w:style w:type="paragraph" w:customStyle="1" w:styleId="21">
    <w:name w:val="样式1"/>
    <w:basedOn w:val="1"/>
    <w:qFormat/>
    <w:uiPriority w:val="0"/>
    <w:pPr>
      <w:spacing w:before="50" w:beforeLines="50" w:line="420" w:lineRule="exact"/>
      <w:ind w:firstLine="0" w:firstLineChars="0"/>
    </w:pPr>
    <w:rPr>
      <w:rFonts w:eastAsia="宋体"/>
      <w:b/>
      <w:sz w:val="24"/>
      <w:szCs w:val="24"/>
    </w:rPr>
  </w:style>
  <w:style w:type="paragraph" w:customStyle="1" w:styleId="22">
    <w:name w:val="样式2"/>
    <w:basedOn w:val="1"/>
    <w:qFormat/>
    <w:uiPriority w:val="0"/>
    <w:pPr>
      <w:spacing w:line="420" w:lineRule="exact"/>
      <w:ind w:left="176" w:leftChars="56"/>
    </w:pPr>
    <w:rPr>
      <w:rFonts w:hint="eastAsia" w:eastAsia="宋体"/>
      <w:b/>
      <w:sz w:val="24"/>
      <w:szCs w:val="24"/>
    </w:rPr>
  </w:style>
  <w:style w:type="paragraph" w:customStyle="1" w:styleId="23">
    <w:name w:val="样式3"/>
    <w:basedOn w:val="1"/>
    <w:qFormat/>
    <w:uiPriority w:val="0"/>
    <w:pPr>
      <w:spacing w:line="420" w:lineRule="exact"/>
      <w:ind w:firstLine="632" w:firstLineChars="200"/>
    </w:pPr>
    <w:rPr>
      <w:rFonts w:eastAsia="宋体"/>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PC\AppData\Roaming\Microsoft\Templates\2015&#21150;&#209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B1859-45EE-425F-AF28-E26E68A90114}">
  <ds:schemaRefs/>
</ds:datastoreItem>
</file>

<file path=docProps/app.xml><?xml version="1.0" encoding="utf-8"?>
<Properties xmlns="http://schemas.openxmlformats.org/officeDocument/2006/extended-properties" xmlns:vt="http://schemas.openxmlformats.org/officeDocument/2006/docPropsVTypes">
  <Template>2015办函.dot</Template>
  <Company>湖北省教育厅</Company>
  <Pages>14</Pages>
  <Words>8959</Words>
  <Characters>10007</Characters>
  <Lines>227</Lines>
  <Paragraphs>169</Paragraphs>
  <TotalTime>0</TotalTime>
  <ScaleCrop>false</ScaleCrop>
  <LinksUpToDate>false</LinksUpToDate>
  <CharactersWithSpaces>10630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2026-05-14T14:43:00Z</dcterms:created>
  <dc:creator>文印室</dc:creator>
  <cp:lastModifiedBy>宋莺</cp:lastModifiedBy>
  <cp:lastPrinted>2018-05-18T07:07:00Z</cp:lastPrinted>
  <dcterms:modified xsi:type="dcterms:W3CDTF">2026-05-31T14:47:55Z</dcterms:modified>
  <dc:title>鄂教〔2001〕2号</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72E0251117E24CA3A8726B8C90FCC75D_12</vt:lpwstr>
  </property>
  <property fmtid="{D5CDD505-2E9C-101B-9397-08002B2CF9AE}" pid="4" name="KSOTemplateDocerSaveRecord">
    <vt:lpwstr>eyJoZGlkIjoiZDc4YWI4ZWU5YzZmOTM1OTNlNjk3ODA3OTQ4MTRiN2IiLCJ1c2VySWQiOiIxNjA2NTE0OTM1In0=</vt:lpwstr>
  </property>
</Properties>
</file>