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1186/2023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Кувардина Оксана Ивановна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«17» июля 2023г. (заезд в санаторий и оформление документов производится с 13.00 первого дня)по «27» июля 2023г. сроком на 10 дней (отъезд – до 11.00 последнего дня заезда для отдыха и лечения в Унитарном предприятии «АСБ Санаторий Спутник»)  стоимостью 1900 (одна тысяча девятьсот)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Кувардина Оксана Ивановна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15.10.1965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Кувардина Оксана Ивановна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ул. Восточная, д.52, кв.330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MP2716514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Советское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