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SUNAT: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getDatosPrincipales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getDatosSecundarios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getDatosT1144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getDatosT362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getDomicilioLegal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getEstablecimientosAnexos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getEstAnexosT1150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getRepLegales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buscarRazonSocial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RENIEC: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nuDniConsulta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ESSALUD: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Asegurados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MINEDU: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CONADIS: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Discapacidad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MTC: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Licencia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INPE: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Antecedentes Judiciales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PODER JUDICIAL: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Antecedentes Penales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PNP: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Antecedentes Policiales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MINSA: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Beneficiarios del SIS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SUNARP: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buscarPJRazonSocial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buscarTitularidadSIRSARP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verDetalleRPVExtr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getOficinas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listarAsientosSIRSARP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verAsientoSIRSARP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SUNEDU: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de Grados y Titulos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MIGRACIONES: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Carnet de Extranjeria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