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234FD" w14:textId="78248364" w:rsidR="009F02EB" w:rsidRDefault="00380978" w:rsidP="00956787">
      <w:pPr>
        <w:ind w:firstLine="0"/>
        <w:jc w:val="right"/>
        <w:rPr>
          <w:lang w:val="uk-UA"/>
        </w:rPr>
      </w:pPr>
      <w:r>
        <w:rPr>
          <w:lang w:val="uk-UA"/>
        </w:rPr>
        <w:t>Сторожук О.Д.</w:t>
      </w:r>
    </w:p>
    <w:p w14:paraId="2BD196D4" w14:textId="007ABA4B" w:rsidR="00380978" w:rsidRDefault="005664A2" w:rsidP="00956787">
      <w:pPr>
        <w:ind w:firstLine="0"/>
        <w:jc w:val="right"/>
        <w:rPr>
          <w:lang w:val="uk-UA"/>
        </w:rPr>
      </w:pPr>
      <w:r>
        <w:rPr>
          <w:lang w:val="uk-UA"/>
        </w:rPr>
        <w:t>КН-</w:t>
      </w:r>
      <w:r w:rsidR="00162BF6">
        <w:rPr>
          <w:lang w:val="ru-RU"/>
        </w:rPr>
        <w:t>Н</w:t>
      </w:r>
      <w:r>
        <w:rPr>
          <w:lang w:val="uk-UA"/>
        </w:rPr>
        <w:t>921б</w:t>
      </w:r>
    </w:p>
    <w:p w14:paraId="7611FE5C" w14:textId="2502336C" w:rsidR="00380978" w:rsidRPr="00162BF6" w:rsidRDefault="00D7059E" w:rsidP="00956787">
      <w:pPr>
        <w:ind w:firstLine="0"/>
        <w:jc w:val="center"/>
        <w:rPr>
          <w:lang w:val="ru-RU"/>
        </w:rPr>
      </w:pPr>
      <w:r>
        <w:rPr>
          <w:lang w:val="uk-UA"/>
        </w:rPr>
        <w:t xml:space="preserve">Лабораторна робота </w:t>
      </w:r>
      <w:r w:rsidR="00677AA6">
        <w:rPr>
          <w:lang w:val="uk-UA"/>
        </w:rPr>
        <w:t>№</w:t>
      </w:r>
      <w:r w:rsidR="001C4637">
        <w:rPr>
          <w:lang w:val="uk-UA"/>
        </w:rPr>
        <w:t>3</w:t>
      </w:r>
    </w:p>
    <w:p w14:paraId="133672EA" w14:textId="7A42E7B1" w:rsidR="00677AA6" w:rsidRDefault="00C349C1" w:rsidP="00956787">
      <w:pPr>
        <w:ind w:firstLine="0"/>
        <w:jc w:val="center"/>
        <w:rPr>
          <w:lang w:val="uk-UA"/>
        </w:rPr>
      </w:pPr>
      <w:r>
        <w:rPr>
          <w:lang w:val="uk-UA"/>
        </w:rPr>
        <w:t>Тема роботи: «</w:t>
      </w:r>
      <w:r w:rsidR="00F733D7">
        <w:rPr>
          <w:lang w:val="uk-UA"/>
        </w:rPr>
        <w:t>Нейронна мережа Хеммінга</w:t>
      </w:r>
      <w:r>
        <w:rPr>
          <w:lang w:val="uk-UA"/>
        </w:rPr>
        <w:t>»</w:t>
      </w:r>
    </w:p>
    <w:p w14:paraId="5597C56E" w14:textId="49F65622" w:rsidR="00D8353F" w:rsidRDefault="00D8353F" w:rsidP="00251390">
      <w:pPr>
        <w:rPr>
          <w:lang w:val="uk-UA"/>
        </w:rPr>
      </w:pPr>
      <w:r>
        <w:rPr>
          <w:lang w:val="uk-UA"/>
        </w:rPr>
        <w:t>Мета роботи:</w:t>
      </w:r>
      <w:r w:rsidR="00372C3A">
        <w:rPr>
          <w:lang w:val="uk-UA"/>
        </w:rPr>
        <w:t xml:space="preserve"> </w:t>
      </w:r>
      <w:r w:rsidR="00613C12">
        <w:rPr>
          <w:lang w:val="uk-UA"/>
        </w:rPr>
        <w:t xml:space="preserve">отримання й закріплення знань, формування практичних навичок роботи із </w:t>
      </w:r>
      <w:r w:rsidR="00AA54C3">
        <w:rPr>
          <w:lang w:val="uk-UA"/>
        </w:rPr>
        <w:t>нейронною мережею Хеммінга</w:t>
      </w:r>
      <w:r w:rsidR="00E93637">
        <w:rPr>
          <w:lang w:val="uk-UA"/>
        </w:rPr>
        <w:t>.</w:t>
      </w:r>
    </w:p>
    <w:p w14:paraId="5372B153" w14:textId="7209B0C4" w:rsidR="00B91B4C" w:rsidRDefault="00B91B4C" w:rsidP="00D8353F">
      <w:pPr>
        <w:rPr>
          <w:lang w:val="uk-UA"/>
        </w:rPr>
      </w:pPr>
    </w:p>
    <w:p w14:paraId="78CF3374" w14:textId="248584C4" w:rsidR="00B91B4C" w:rsidRDefault="00C97BEA" w:rsidP="00C97BEA">
      <w:pPr>
        <w:ind w:firstLine="0"/>
        <w:jc w:val="center"/>
        <w:rPr>
          <w:lang w:val="uk-UA"/>
        </w:rPr>
      </w:pPr>
      <w:r>
        <w:rPr>
          <w:lang w:val="uk-UA"/>
        </w:rPr>
        <w:t>ЗАВДАННЯ ДО ВИКОНАННЯ</w:t>
      </w:r>
    </w:p>
    <w:p w14:paraId="6FD5D591" w14:textId="3BBF3E59" w:rsidR="005A2F1E" w:rsidRDefault="00251390" w:rsidP="003A6675">
      <w:pPr>
        <w:rPr>
          <w:lang w:val="uk-UA"/>
        </w:rPr>
      </w:pPr>
      <w:r>
        <w:rPr>
          <w:lang w:val="uk-UA"/>
        </w:rPr>
        <w:t>Розробити нейронну мережу Хеммінга, що може розпізнавати не менше 6 різних букв з прізвища та ім’я студента. При цьому:</w:t>
      </w:r>
    </w:p>
    <w:p w14:paraId="5609516A" w14:textId="3CC4F272" w:rsidR="00251390" w:rsidRDefault="00251390" w:rsidP="003A6675">
      <w:pPr>
        <w:rPr>
          <w:lang w:val="uk-UA"/>
        </w:rPr>
      </w:pPr>
      <w:r>
        <w:rPr>
          <w:lang w:val="uk-UA"/>
        </w:rPr>
        <w:t xml:space="preserve">- система складається з 25 </w:t>
      </w:r>
      <w:r w:rsidR="0064547E">
        <w:rPr>
          <w:lang w:val="uk-UA"/>
        </w:rPr>
        <w:t>сенсорних нейронів;</w:t>
      </w:r>
    </w:p>
    <w:p w14:paraId="6A95D8E0" w14:textId="36AD73B5" w:rsidR="0064547E" w:rsidRDefault="0064547E" w:rsidP="003A6675">
      <w:pPr>
        <w:rPr>
          <w:lang w:val="uk-UA"/>
        </w:rPr>
      </w:pPr>
      <w:r>
        <w:rPr>
          <w:lang w:val="uk-UA"/>
        </w:rPr>
        <w:t xml:space="preserve">- </w:t>
      </w:r>
      <w:r w:rsidR="0076525F">
        <w:rPr>
          <w:lang w:val="uk-UA"/>
        </w:rPr>
        <w:t>число рецепторних нейронів дорівнює кількості символів, тобто 6.</w:t>
      </w:r>
    </w:p>
    <w:p w14:paraId="373CBD4C" w14:textId="3036DE95" w:rsidR="001D394B" w:rsidRDefault="001D394B" w:rsidP="003A6675">
      <w:pPr>
        <w:rPr>
          <w:lang w:val="uk-UA"/>
        </w:rPr>
      </w:pPr>
    </w:p>
    <w:p w14:paraId="64188313" w14:textId="60909D9B" w:rsidR="00A81AA0" w:rsidRDefault="00A81AA0" w:rsidP="00A81AA0">
      <w:pPr>
        <w:jc w:val="center"/>
        <w:rPr>
          <w:lang w:val="uk-UA"/>
        </w:rPr>
      </w:pPr>
      <w:r>
        <w:rPr>
          <w:lang w:val="uk-UA"/>
        </w:rPr>
        <w:t>ХІД РОБОТИ</w:t>
      </w:r>
    </w:p>
    <w:p w14:paraId="589229E6" w14:textId="08C9DE6E" w:rsidR="009303B4" w:rsidRDefault="009303B4" w:rsidP="00DE3053">
      <w:pPr>
        <w:rPr>
          <w:lang w:val="uk-UA"/>
        </w:rPr>
      </w:pPr>
      <w:r>
        <w:rPr>
          <w:lang w:val="uk-UA"/>
        </w:rPr>
        <w:t>У роботі буде розглядатися аналіз 6 символів: С, О, Р, Т, К, Ж.</w:t>
      </w:r>
      <w:r w:rsidR="0045524D">
        <w:rPr>
          <w:lang w:val="uk-UA"/>
        </w:rPr>
        <w:t xml:space="preserve"> Процес їх введення наведений на рис. 3.1</w:t>
      </w:r>
      <w:r w:rsidR="00DE3053">
        <w:rPr>
          <w:lang w:val="uk-UA"/>
        </w:rPr>
        <w:t>.</w:t>
      </w:r>
    </w:p>
    <w:p w14:paraId="2FDE48FA" w14:textId="2989F471" w:rsidR="00F91C3D" w:rsidRDefault="009303B4" w:rsidP="00A81AA0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AAFA79A" wp14:editId="24A35894">
            <wp:extent cx="5683250" cy="2091047"/>
            <wp:effectExtent l="0" t="0" r="0" b="508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2037" cy="20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7C62" w14:textId="385C25D5" w:rsidR="00DE3053" w:rsidRDefault="00DE3053" w:rsidP="00A81AA0">
      <w:pPr>
        <w:jc w:val="center"/>
        <w:rPr>
          <w:lang w:val="uk-UA"/>
        </w:rPr>
      </w:pPr>
      <w:r>
        <w:rPr>
          <w:lang w:val="uk-UA"/>
        </w:rPr>
        <w:t>Рисунок 3.1 – Описання вхідних еталоннів символі</w:t>
      </w:r>
      <w:r w:rsidR="00561D5F">
        <w:rPr>
          <w:lang w:val="uk-UA"/>
        </w:rPr>
        <w:t>в</w:t>
      </w:r>
    </w:p>
    <w:p w14:paraId="42241F4A" w14:textId="7ED13B96" w:rsidR="00723C03" w:rsidRDefault="00723C03" w:rsidP="00A81AA0">
      <w:pPr>
        <w:jc w:val="center"/>
        <w:rPr>
          <w:lang w:val="uk-UA"/>
        </w:rPr>
      </w:pPr>
    </w:p>
    <w:p w14:paraId="4AEBEAD4" w14:textId="4CD36339" w:rsidR="00723C03" w:rsidRDefault="00723C03" w:rsidP="00723C03">
      <w:pPr>
        <w:rPr>
          <w:lang w:val="uk-UA"/>
        </w:rPr>
      </w:pPr>
      <w:r>
        <w:rPr>
          <w:lang w:val="uk-UA"/>
        </w:rPr>
        <w:t>Під час аналізу еталонних символів розраховуються ваги коефіцієнтів на виході сенсорних нейронів, як це наведено на рис. 3.2. Розрахунок відбувається за формулою:</w:t>
      </w:r>
    </w:p>
    <w:p w14:paraId="64925639" w14:textId="6B01127C" w:rsidR="00337D96" w:rsidRPr="00E06579" w:rsidRDefault="00162BF6" w:rsidP="00E06579">
      <w:pPr>
        <w:jc w:val="center"/>
        <w:rPr>
          <w:i/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lang w:val="uk-UA"/>
                </w:rPr>
                <m:t>w</m:t>
              </m:r>
            </m:e>
            <m:sub>
              <m:r>
                <w:rPr>
                  <w:rFonts w:ascii="Cambria Math" w:hAnsi="Cambria Math"/>
                  <w:lang w:val="uk-UA"/>
                </w:rPr>
                <m:t>1k</m:t>
              </m:r>
            </m:sub>
            <m:sup>
              <m:r>
                <w:rPr>
                  <w:rFonts w:ascii="Cambria Math" w:hAnsi="Cambria Math"/>
                  <w:lang w:val="uk-UA"/>
                </w:rPr>
                <m:t>1</m:t>
              </m:r>
            </m:sup>
          </m:sSubSup>
          <m:r>
            <w:rPr>
              <w:rFonts w:ascii="Cambria Math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 xml:space="preserve">,… , </m:t>
          </m:r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lang w:val="uk-UA"/>
                </w:rPr>
                <m:t>w</m:t>
              </m:r>
            </m:e>
            <m:sub>
              <m:r>
                <w:rPr>
                  <w:rFonts w:ascii="Cambria Math" w:hAnsi="Cambria Math"/>
                  <w:lang w:val="uk-UA"/>
                </w:rPr>
                <m:t>mk</m:t>
              </m:r>
            </m:sub>
            <m:sup>
              <m:r>
                <w:rPr>
                  <w:rFonts w:ascii="Cambria Math" w:hAnsi="Cambria Math"/>
                  <w:lang w:val="uk-UA"/>
                </w:rPr>
                <m:t>1</m:t>
              </m:r>
            </m:sup>
          </m:sSubSup>
          <m:r>
            <w:rPr>
              <w:rFonts w:ascii="Cambria Math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 xml:space="preserve"> </m:t>
          </m:r>
        </m:oMath>
      </m:oMathPara>
    </w:p>
    <w:p w14:paraId="77F1A0D4" w14:textId="3E3423FF" w:rsidR="00561D5F" w:rsidRDefault="00F846D8" w:rsidP="00F966D4">
      <w:pPr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1A3C57EC" wp14:editId="2C47166D">
            <wp:extent cx="2308225" cy="4588773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2223" cy="459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F301" w14:textId="3E096657" w:rsidR="005264FB" w:rsidRDefault="00F966D4" w:rsidP="00F966D4">
      <w:pPr>
        <w:ind w:firstLine="0"/>
        <w:jc w:val="center"/>
        <w:rPr>
          <w:lang w:val="uk-UA"/>
        </w:rPr>
      </w:pPr>
      <w:r>
        <w:rPr>
          <w:lang w:val="uk-UA"/>
        </w:rPr>
        <w:t>Рисунок 3.2</w:t>
      </w:r>
      <w:r w:rsidR="005D170C" w:rsidRPr="00D51E1A">
        <w:rPr>
          <w:lang w:val="uk-UA"/>
        </w:rPr>
        <w:t xml:space="preserve"> – Таблиця вагів коефіцієнтів </w:t>
      </w:r>
      <w:r w:rsidR="00D51E1A" w:rsidRPr="00D51E1A">
        <w:rPr>
          <w:lang w:val="uk-UA"/>
        </w:rPr>
        <w:t>вхід</w:t>
      </w:r>
      <w:r w:rsidR="00D51E1A">
        <w:rPr>
          <w:lang w:val="uk-UA"/>
        </w:rPr>
        <w:t>них рецепторних нейронів</w:t>
      </w:r>
    </w:p>
    <w:p w14:paraId="09A7FC03" w14:textId="0C7BC1DB" w:rsidR="000B43A5" w:rsidRDefault="000B43A5" w:rsidP="00F966D4">
      <w:pPr>
        <w:ind w:firstLine="0"/>
        <w:jc w:val="center"/>
        <w:rPr>
          <w:lang w:val="uk-UA"/>
        </w:rPr>
      </w:pPr>
    </w:p>
    <w:p w14:paraId="02C89BF8" w14:textId="0E9145A7" w:rsidR="000B43A5" w:rsidRDefault="004C52B1" w:rsidP="004C52B1">
      <w:pPr>
        <w:rPr>
          <w:lang w:val="ru-RU"/>
        </w:rPr>
      </w:pPr>
      <w:r>
        <w:rPr>
          <w:lang w:val="uk-UA"/>
        </w:rPr>
        <w:t xml:space="preserve">При подальшому розрахунку вхідних символів враховуються два коефіцієнти: </w:t>
      </w:r>
      <w:r w:rsidRPr="004C52B1">
        <w:rPr>
          <w:i/>
          <w:iCs/>
        </w:rPr>
        <w:t>k</w:t>
      </w:r>
      <w:r w:rsidRPr="004C52B1">
        <w:rPr>
          <w:lang w:val="ru-RU"/>
        </w:rPr>
        <w:t xml:space="preserve">, </w:t>
      </w:r>
      <w:r>
        <w:rPr>
          <w:rFonts w:cs="Times New Roman"/>
          <w:lang w:val="ru-RU"/>
        </w:rPr>
        <w:t>ε</w:t>
      </w:r>
      <w:r w:rsidRPr="004C52B1">
        <w:rPr>
          <w:lang w:val="ru-RU"/>
        </w:rPr>
        <w:t>.</w:t>
      </w:r>
    </w:p>
    <w:p w14:paraId="7629C3B9" w14:textId="0F5A2C56" w:rsidR="004C52B1" w:rsidRDefault="00211EC9" w:rsidP="004C52B1">
      <w:pPr>
        <w:rPr>
          <w:rFonts w:eastAsiaTheme="minorEastAsia"/>
          <w:lang w:val="ru-RU"/>
        </w:rPr>
      </w:pPr>
      <w:r>
        <w:t>k</w:t>
      </w:r>
      <w:r w:rsidRPr="00211EC9">
        <w:rPr>
          <w:lang w:val="ru-RU"/>
        </w:rPr>
        <w:t xml:space="preserve"> </w:t>
      </w:r>
      <w:r>
        <w:rPr>
          <w:lang w:val="uk-UA"/>
        </w:rPr>
        <w:t xml:space="preserve">відповідає за встановлення порогового значення під час </w:t>
      </w:r>
      <w:r w:rsidR="00020045">
        <w:rPr>
          <w:lang w:val="uk-UA"/>
        </w:rPr>
        <w:t>визначення</w:t>
      </w:r>
      <w:r>
        <w:rPr>
          <w:lang w:val="uk-UA"/>
        </w:rPr>
        <w:t xml:space="preserve"> </w:t>
      </w:r>
      <w:r w:rsidR="00020045">
        <w:rPr>
          <w:lang w:val="uk-UA"/>
        </w:rPr>
        <w:t xml:space="preserve">входів </w:t>
      </w:r>
      <w:r>
        <w:rPr>
          <w:lang w:val="uk-UA"/>
        </w:rPr>
        <w:t xml:space="preserve">рецепторних нейронів. </w:t>
      </w:r>
      <w:r w:rsidR="00020045">
        <w:rPr>
          <w:lang w:val="uk-UA"/>
        </w:rPr>
        <w:t xml:space="preserve">Порогове значення розраховуєтсья за формулою: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lang w:val="uk-UA"/>
              </w:rPr>
              <m:t>k</m:t>
            </m:r>
          </m:den>
        </m:f>
      </m:oMath>
      <w:r w:rsidR="00020045" w:rsidRPr="00020045">
        <w:rPr>
          <w:rFonts w:eastAsiaTheme="minorEastAsia"/>
          <w:lang w:val="ru-RU"/>
        </w:rPr>
        <w:t xml:space="preserve"> . </w:t>
      </w:r>
      <w:r w:rsidR="00020045">
        <w:rPr>
          <w:rFonts w:eastAsiaTheme="minorEastAsia"/>
          <w:lang w:val="uk-UA"/>
        </w:rPr>
        <w:t>Також зазначений коефіцієнт бере участь у розрахунку вихідних значень рецепторних нейронів, як</w:t>
      </w:r>
      <w:r w:rsidR="008D3324">
        <w:rPr>
          <w:rFonts w:eastAsiaTheme="minorEastAsia"/>
          <w:lang w:val="uk-UA"/>
        </w:rPr>
        <w:t xml:space="preserve">і розраховуються за наступною формулою: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 xml:space="preserve">вих </m:t>
            </m:r>
            <m:r>
              <w:rPr>
                <w:rFonts w:ascii="Cambria Math" w:eastAsiaTheme="minorEastAsia" w:hAnsi="Cambria Math"/>
              </w:rPr>
              <m:t>Zn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=k × </m:t>
        </m:r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 xml:space="preserve">вх </m:t>
            </m:r>
            <m:r>
              <w:rPr>
                <w:rFonts w:ascii="Cambria Math" w:eastAsiaTheme="minorEastAsia" w:hAnsi="Cambria Math"/>
              </w:rPr>
              <m:t>Zn</m:t>
            </m:r>
          </m:sub>
        </m:sSub>
      </m:oMath>
      <w:r w:rsidR="008D3324" w:rsidRPr="008D3324">
        <w:rPr>
          <w:rFonts w:eastAsiaTheme="minorEastAsia"/>
          <w:lang w:val="ru-RU"/>
        </w:rPr>
        <w:t xml:space="preserve">. </w:t>
      </w:r>
      <w:r w:rsidR="008D3324">
        <w:rPr>
          <w:rFonts w:eastAsiaTheme="minorEastAsia"/>
          <w:lang w:val="ru-RU"/>
        </w:rPr>
        <w:t>Необхідність коректного встановлення цього коефіцієнту обумовлюється тим, що при занадто високому його значенні нейронна мережа починає приводити усі вхідні рецепторні нейрони до спільного значення, що у подальшому унеможливлює аналіз вхідного символу.</w:t>
      </w:r>
    </w:p>
    <w:p w14:paraId="0A7C5D42" w14:textId="7DE09FCD" w:rsidR="0017608B" w:rsidRPr="00371CEA" w:rsidRDefault="008D3324" w:rsidP="004C52B1">
      <w:pPr>
        <w:rPr>
          <w:rFonts w:cs="Times New Roman"/>
          <w:lang w:val="uk-UA"/>
        </w:rPr>
      </w:pPr>
      <w:r>
        <w:rPr>
          <w:rFonts w:eastAsiaTheme="minorEastAsia"/>
          <w:lang w:val="ru-RU"/>
        </w:rPr>
        <w:t xml:space="preserve">Коефіцієнт </w:t>
      </w:r>
      <w:r>
        <w:rPr>
          <w:rFonts w:cs="Times New Roman"/>
          <w:lang w:val="ru-RU"/>
        </w:rPr>
        <w:t>ε</w:t>
      </w:r>
      <w:r w:rsidR="00950D3B">
        <w:rPr>
          <w:rFonts w:cs="Times New Roman"/>
          <w:lang w:val="ru-RU"/>
        </w:rPr>
        <w:t xml:space="preserve"> бере участь у розрахунку вихідних значень асоціативних нейронів мережі </w:t>
      </w:r>
      <w:r w:rsidR="00950D3B">
        <w:rPr>
          <w:rFonts w:cs="Times New Roman"/>
        </w:rPr>
        <w:t>Maxnet</w:t>
      </w:r>
      <w:r w:rsidR="00950D3B" w:rsidRPr="00950D3B">
        <w:rPr>
          <w:rFonts w:cs="Times New Roman"/>
          <w:lang w:val="ru-RU"/>
        </w:rPr>
        <w:t xml:space="preserve">. </w:t>
      </w:r>
      <w:r w:rsidR="00950D3B">
        <w:rPr>
          <w:rFonts w:cs="Times New Roman"/>
          <w:lang w:val="uk-UA"/>
        </w:rPr>
        <w:t>При меншому значенні зменшується сума асоціативних вагів на вході мережі, що збільшує у подальшому точність розрахунків, однак потребує більшої кількості ітерацій. Його значення не повинне перевищувати 1</w:t>
      </w:r>
      <w:r w:rsidR="00950D3B" w:rsidRPr="00950D3B">
        <w:rPr>
          <w:rFonts w:cs="Times New Roman"/>
          <w:lang w:val="ru-RU"/>
        </w:rPr>
        <w:t>/</w:t>
      </w:r>
      <w:r w:rsidR="00950D3B">
        <w:rPr>
          <w:rFonts w:cs="Times New Roman"/>
        </w:rPr>
        <w:t>n</w:t>
      </w:r>
      <w:r w:rsidR="00950D3B" w:rsidRPr="00950D3B">
        <w:rPr>
          <w:rFonts w:cs="Times New Roman"/>
          <w:lang w:val="ru-RU"/>
        </w:rPr>
        <w:t xml:space="preserve">, </w:t>
      </w:r>
      <w:r w:rsidR="00950D3B">
        <w:rPr>
          <w:rFonts w:cs="Times New Roman"/>
          <w:lang w:val="ru-RU"/>
        </w:rPr>
        <w:t xml:space="preserve">де </w:t>
      </w:r>
      <w:r w:rsidR="00950D3B">
        <w:rPr>
          <w:rFonts w:cs="Times New Roman"/>
        </w:rPr>
        <w:t>n</w:t>
      </w:r>
      <w:r w:rsidR="00950D3B" w:rsidRPr="00950D3B">
        <w:rPr>
          <w:rFonts w:cs="Times New Roman"/>
          <w:lang w:val="ru-RU"/>
        </w:rPr>
        <w:t xml:space="preserve"> – </w:t>
      </w:r>
      <w:r w:rsidR="00950D3B">
        <w:rPr>
          <w:rFonts w:cs="Times New Roman"/>
          <w:lang w:val="uk-UA"/>
        </w:rPr>
        <w:t>кількість зображень у мережі.</w:t>
      </w:r>
    </w:p>
    <w:p w14:paraId="34CD982A" w14:textId="237F0899" w:rsidR="005D170C" w:rsidRDefault="005D1BC8" w:rsidP="005D1BC8">
      <w:pPr>
        <w:rPr>
          <w:rFonts w:cs="Times New Roman"/>
          <w:lang w:val="ru-RU"/>
        </w:rPr>
      </w:pPr>
      <w:r>
        <w:rPr>
          <w:lang w:val="uk-UA"/>
        </w:rPr>
        <w:lastRenderedPageBreak/>
        <w:t>На рис. 3.3 наведений приклад аналізу вхідного символу</w:t>
      </w:r>
      <w:r w:rsidR="00701520">
        <w:rPr>
          <w:lang w:val="uk-UA"/>
        </w:rPr>
        <w:t xml:space="preserve"> С, де </w:t>
      </w:r>
      <w:r w:rsidR="00701520" w:rsidRPr="00701520">
        <w:rPr>
          <w:i/>
          <w:iCs/>
        </w:rPr>
        <w:t>k</w:t>
      </w:r>
      <w:r w:rsidR="00701520" w:rsidRPr="00701520">
        <w:rPr>
          <w:lang w:val="ru-RU"/>
        </w:rPr>
        <w:t xml:space="preserve"> = 0.03, </w:t>
      </w:r>
      <w:r w:rsidR="00701520">
        <w:rPr>
          <w:rFonts w:cs="Times New Roman"/>
          <w:lang w:val="ru-RU"/>
        </w:rPr>
        <w:t>ε = 0.12.</w:t>
      </w:r>
    </w:p>
    <w:p w14:paraId="5B798995" w14:textId="4E2A501F" w:rsidR="00504145" w:rsidRDefault="00504145" w:rsidP="005D1BC8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>Розрахунок на виході асоціативних нейронів виконувався ітераційно за формулою:</w:t>
      </w:r>
    </w:p>
    <w:p w14:paraId="4850A2CF" w14:textId="3438FF8A" w:rsidR="00504145" w:rsidRPr="00C132C9" w:rsidRDefault="00162BF6" w:rsidP="005D1BC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lang w:val="uk-UA"/>
                </w:rPr>
                <m:t>вих Аj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=g(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lang w:val="uk-UA"/>
                </w:rPr>
                <m:t>вих Аj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lang w:val="ru-RU"/>
            </w:rPr>
            <m:t>ε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lang w:val="ru-RU"/>
                </w:rPr>
                <m:t>k=1, k≠j</m:t>
              </m:r>
            </m:sub>
            <m:sup>
              <m:r>
                <w:rPr>
                  <w:rFonts w:ascii="Cambria Math" w:hAnsi="Cambria Math" w:cs="Times New Roman"/>
                  <w:lang w:val="ru-RU"/>
                </w:rPr>
                <m:t>25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вих Аk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6DFBFF07" w14:textId="77777777" w:rsidR="00C132C9" w:rsidRPr="00504145" w:rsidRDefault="00C132C9" w:rsidP="005D1BC8">
      <w:pPr>
        <w:rPr>
          <w:lang w:val="uk-UA"/>
        </w:rPr>
      </w:pPr>
    </w:p>
    <w:p w14:paraId="6F6C56A6" w14:textId="506B977B" w:rsidR="005D170C" w:rsidRDefault="00371CEA" w:rsidP="00F966D4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7A64C58" wp14:editId="12F939F4">
            <wp:extent cx="2594668" cy="4914900"/>
            <wp:effectExtent l="0" t="0" r="0" b="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 rotWithShape="1">
                    <a:blip r:embed="rId7"/>
                    <a:srcRect l="6481" r="2803" b="1886"/>
                    <a:stretch/>
                  </pic:blipFill>
                  <pic:spPr bwMode="auto">
                    <a:xfrm>
                      <a:off x="0" y="0"/>
                      <a:ext cx="2600041" cy="4925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18ECB" w14:textId="4E74C589" w:rsidR="00050AC5" w:rsidRDefault="00050AC5" w:rsidP="00F966D4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3.3 – Процес розпізнавання </w:t>
      </w:r>
      <w:r w:rsidR="0085376A">
        <w:rPr>
          <w:lang w:val="ru-RU"/>
        </w:rPr>
        <w:t>символу</w:t>
      </w:r>
      <w:r>
        <w:rPr>
          <w:lang w:val="ru-RU"/>
        </w:rPr>
        <w:t xml:space="preserve"> С</w:t>
      </w:r>
    </w:p>
    <w:p w14:paraId="70CAE8B7" w14:textId="334EAD6A" w:rsidR="005B75B3" w:rsidRDefault="005B75B3" w:rsidP="00F966D4">
      <w:pPr>
        <w:ind w:firstLine="0"/>
        <w:jc w:val="center"/>
        <w:rPr>
          <w:lang w:val="ru-RU"/>
        </w:rPr>
      </w:pPr>
    </w:p>
    <w:p w14:paraId="6C5F9BF0" w14:textId="31F81B4A" w:rsidR="005B75B3" w:rsidRDefault="005B75B3" w:rsidP="005B75B3">
      <w:pPr>
        <w:ind w:firstLine="0"/>
        <w:rPr>
          <w:lang w:val="ru-RU"/>
        </w:rPr>
      </w:pPr>
      <w:r>
        <w:rPr>
          <w:lang w:val="ru-RU"/>
        </w:rPr>
        <w:t>Системі також вдається розпізнавати інші символи (рис. 3.4) та символи, які дещо відрізняються у своїх розмірах, як це наведено на рис. 3.5.</w:t>
      </w:r>
    </w:p>
    <w:p w14:paraId="7306D62D" w14:textId="42FB0A84" w:rsidR="00050AC5" w:rsidRDefault="005B75B3" w:rsidP="00F966D4">
      <w:pPr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6BB713BB" wp14:editId="70AEBC09">
            <wp:extent cx="2470150" cy="3842456"/>
            <wp:effectExtent l="0" t="0" r="6350" b="5715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 rotWithShape="1">
                    <a:blip r:embed="rId8"/>
                    <a:srcRect l="10798" r="7879" b="4213"/>
                    <a:stretch/>
                  </pic:blipFill>
                  <pic:spPr bwMode="auto">
                    <a:xfrm>
                      <a:off x="0" y="0"/>
                      <a:ext cx="2472694" cy="3846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F45F7" w14:textId="6BA11428" w:rsidR="00392AA2" w:rsidRDefault="00392AA2" w:rsidP="00F966D4">
      <w:pPr>
        <w:ind w:firstLine="0"/>
        <w:jc w:val="center"/>
        <w:rPr>
          <w:lang w:val="uk-UA"/>
        </w:rPr>
      </w:pPr>
      <w:r>
        <w:rPr>
          <w:lang w:val="uk-UA"/>
        </w:rPr>
        <w:t>Рисунок 3.</w:t>
      </w:r>
      <w:r w:rsidR="00111051">
        <w:rPr>
          <w:lang w:val="uk-UA"/>
        </w:rPr>
        <w:t>4</w:t>
      </w:r>
      <w:r>
        <w:rPr>
          <w:lang w:val="uk-UA"/>
        </w:rPr>
        <w:t xml:space="preserve"> – Розпізнавання символу Т</w:t>
      </w:r>
    </w:p>
    <w:p w14:paraId="50CCE3D4" w14:textId="5F4D0A3D" w:rsidR="00111051" w:rsidRDefault="00111051" w:rsidP="00F966D4">
      <w:pPr>
        <w:ind w:firstLine="0"/>
        <w:jc w:val="center"/>
        <w:rPr>
          <w:lang w:val="uk-UA"/>
        </w:rPr>
      </w:pPr>
    </w:p>
    <w:p w14:paraId="298EB847" w14:textId="1D8F42BC" w:rsidR="00111051" w:rsidRDefault="00111051" w:rsidP="00F966D4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DBE5953" wp14:editId="1B13E418">
            <wp:extent cx="2103120" cy="4008860"/>
            <wp:effectExtent l="0" t="0" r="0" b="0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 rotWithShape="1">
                    <a:blip r:embed="rId9"/>
                    <a:srcRect l="17189" r="3538"/>
                    <a:stretch/>
                  </pic:blipFill>
                  <pic:spPr bwMode="auto">
                    <a:xfrm>
                      <a:off x="0" y="0"/>
                      <a:ext cx="2106540" cy="4015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A1C2F" w14:textId="637297D6" w:rsidR="00B121A5" w:rsidRDefault="00111051" w:rsidP="00F966D4">
      <w:pPr>
        <w:ind w:firstLine="0"/>
        <w:jc w:val="center"/>
        <w:rPr>
          <w:lang w:val="uk-UA"/>
        </w:rPr>
      </w:pPr>
      <w:r>
        <w:rPr>
          <w:lang w:val="uk-UA"/>
        </w:rPr>
        <w:t>Рисунок 3.5 – Розпізнавання символу О, який за своєю бітовою маскою відрізняється від еталонного, однак системі вдається дати коректну відповідь</w:t>
      </w:r>
    </w:p>
    <w:p w14:paraId="3E37DE42" w14:textId="7AF3F67D" w:rsidR="003557F2" w:rsidRDefault="003557F2" w:rsidP="003557F2">
      <w:pPr>
        <w:rPr>
          <w:lang w:val="uk-UA"/>
        </w:rPr>
      </w:pPr>
      <w:r>
        <w:rPr>
          <w:lang w:val="uk-UA"/>
        </w:rPr>
        <w:lastRenderedPageBreak/>
        <w:t>Однак, система не здатна розпізнавати символи, якщо два еталони відрізняються один від одного лише одним сенсорним нейроном.</w:t>
      </w:r>
      <w:r w:rsidR="00BF2D0C">
        <w:rPr>
          <w:lang w:val="uk-UA"/>
        </w:rPr>
        <w:t xml:space="preserve"> Прикладом слугує символ з рис. 3.6 і рис. 3.7, який має відстань по Хеммінгу між символами О та С, що дорівнює 1</w:t>
      </w:r>
    </w:p>
    <w:p w14:paraId="257E8D01" w14:textId="7BF1658D" w:rsidR="00BF2D0C" w:rsidRDefault="00BF2D0C" w:rsidP="00BF2D0C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E3CB2C8" wp14:editId="09A37036">
            <wp:extent cx="2095500" cy="1771650"/>
            <wp:effectExtent l="0" t="0" r="0" b="0"/>
            <wp:docPr id="21" name="Picture 21" descr="A picture containing text, shoji, crossword puzzle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text, shoji, crossword puzzle, clip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BAD2" w14:textId="0D89158C" w:rsidR="00D65C6D" w:rsidRDefault="00D65C6D" w:rsidP="00BF2D0C">
      <w:pPr>
        <w:jc w:val="center"/>
        <w:rPr>
          <w:lang w:val="uk-UA"/>
        </w:rPr>
      </w:pPr>
      <w:r>
        <w:rPr>
          <w:lang w:val="uk-UA"/>
        </w:rPr>
        <w:t>Рисунок 3.6 – Введення символу, який має відстань по Хеммінгу, що дорівнює 1</w:t>
      </w:r>
    </w:p>
    <w:p w14:paraId="5F0C6091" w14:textId="78E18A2A" w:rsidR="00D65C6D" w:rsidRDefault="00D65C6D" w:rsidP="00BF2D0C">
      <w:pPr>
        <w:jc w:val="center"/>
        <w:rPr>
          <w:lang w:val="uk-UA"/>
        </w:rPr>
      </w:pPr>
    </w:p>
    <w:p w14:paraId="7F7E783F" w14:textId="72167CBA" w:rsidR="00D65C6D" w:rsidRDefault="000B3A10" w:rsidP="00BF2D0C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0362E9B" wp14:editId="1F148A9D">
            <wp:extent cx="2213219" cy="4076700"/>
            <wp:effectExtent l="0" t="0" r="0" b="0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 rotWithShape="1">
                    <a:blip r:embed="rId11"/>
                    <a:srcRect l="5275" t="525" r="4322"/>
                    <a:stretch/>
                  </pic:blipFill>
                  <pic:spPr bwMode="auto">
                    <a:xfrm>
                      <a:off x="0" y="0"/>
                      <a:ext cx="2218569" cy="4086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BE7A6" w14:textId="253D460E" w:rsidR="000B3A10" w:rsidRDefault="000B3A10" w:rsidP="00BF2D0C">
      <w:pPr>
        <w:jc w:val="center"/>
        <w:rPr>
          <w:lang w:val="uk-UA"/>
        </w:rPr>
      </w:pPr>
      <w:r>
        <w:rPr>
          <w:lang w:val="uk-UA"/>
        </w:rPr>
        <w:t>Рисунок 3.7 – Під час розрахунку наближеного символу система виконує більше 60 ітерацій, однак не може відгадати символ</w:t>
      </w:r>
    </w:p>
    <w:p w14:paraId="3AB53D8F" w14:textId="560772CF" w:rsidR="00066DE1" w:rsidRDefault="00066DE1" w:rsidP="00BF2D0C">
      <w:pPr>
        <w:jc w:val="center"/>
        <w:rPr>
          <w:lang w:val="uk-UA"/>
        </w:rPr>
      </w:pPr>
    </w:p>
    <w:p w14:paraId="76CC638F" w14:textId="5651AD22" w:rsidR="00066DE1" w:rsidRDefault="00066DE1" w:rsidP="00066DE1">
      <w:pPr>
        <w:rPr>
          <w:lang w:val="uk-UA"/>
        </w:rPr>
      </w:pPr>
      <w:r>
        <w:rPr>
          <w:lang w:val="uk-UA"/>
        </w:rPr>
        <w:t>Цей недолік є характерним для мережі Хеммінга</w:t>
      </w:r>
      <w:r w:rsidR="00F57966">
        <w:rPr>
          <w:lang w:val="uk-UA"/>
        </w:rPr>
        <w:t>, оскільки вона м</w:t>
      </w:r>
      <w:r>
        <w:rPr>
          <w:lang w:val="uk-UA"/>
        </w:rPr>
        <w:t>а</w:t>
      </w:r>
      <w:r w:rsidR="00F57966">
        <w:rPr>
          <w:lang w:val="uk-UA"/>
        </w:rPr>
        <w:t>є</w:t>
      </w:r>
      <w:r>
        <w:rPr>
          <w:lang w:val="uk-UA"/>
        </w:rPr>
        <w:t xml:space="preserve"> дискретні значення ваг сенсорних нейронів</w:t>
      </w:r>
      <w:r w:rsidR="00F57966">
        <w:rPr>
          <w:lang w:val="uk-UA"/>
        </w:rPr>
        <w:t>.</w:t>
      </w:r>
      <w:r>
        <w:rPr>
          <w:lang w:val="uk-UA"/>
        </w:rPr>
        <w:t xml:space="preserve"> </w:t>
      </w:r>
      <w:r w:rsidR="00F57966">
        <w:rPr>
          <w:lang w:val="uk-UA"/>
        </w:rPr>
        <w:t xml:space="preserve">Рішенням може бути лише зміна </w:t>
      </w:r>
      <w:r w:rsidR="00F57966">
        <w:rPr>
          <w:lang w:val="uk-UA"/>
        </w:rPr>
        <w:lastRenderedPageBreak/>
        <w:t>структури еталонних зображень та повторне навчання системи</w:t>
      </w:r>
      <w:r w:rsidR="00D0411B">
        <w:rPr>
          <w:lang w:val="uk-UA"/>
        </w:rPr>
        <w:t>, як це наведено на рис. 3.8 і рис. 3.9.</w:t>
      </w:r>
    </w:p>
    <w:p w14:paraId="166BCE44" w14:textId="527D25B4" w:rsidR="00D0411B" w:rsidRDefault="00D0411B" w:rsidP="00D0411B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DFD4D7F" wp14:editId="72C0334E">
            <wp:extent cx="5196840" cy="1042146"/>
            <wp:effectExtent l="0" t="0" r="3810" b="5715"/>
            <wp:docPr id="23" name="Picture 23" descr="A picture containing text, shoji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text, shoji, crossword puzz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5415" cy="104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59A9" w14:textId="5FEA26D0" w:rsidR="00D0411B" w:rsidRDefault="00D0411B" w:rsidP="00D0411B">
      <w:pPr>
        <w:jc w:val="center"/>
        <w:rPr>
          <w:lang w:val="uk-UA"/>
        </w:rPr>
      </w:pPr>
      <w:r>
        <w:rPr>
          <w:lang w:val="uk-UA"/>
        </w:rPr>
        <w:t>Рисунок 3.8 – Зміна еталонного зображення для уникнення малої відстані Хеммінгу від символу О</w:t>
      </w:r>
    </w:p>
    <w:p w14:paraId="34DFD68D" w14:textId="0A36A2A9" w:rsidR="00D0411B" w:rsidRDefault="00D0411B" w:rsidP="00D0411B">
      <w:pPr>
        <w:jc w:val="center"/>
        <w:rPr>
          <w:lang w:val="uk-UA"/>
        </w:rPr>
      </w:pPr>
    </w:p>
    <w:p w14:paraId="6D0AF326" w14:textId="5C29D25F" w:rsidR="00D0411B" w:rsidRDefault="00444AB0" w:rsidP="00D0411B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2C46605" wp14:editId="04EEE73D">
            <wp:extent cx="2865120" cy="3651736"/>
            <wp:effectExtent l="0" t="0" r="0" b="6350"/>
            <wp:docPr id="24" name="Picture 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6558" cy="36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5DBA" w14:textId="56EDB90F" w:rsidR="00444AB0" w:rsidRDefault="00444AB0" w:rsidP="00D0411B">
      <w:pPr>
        <w:jc w:val="center"/>
        <w:rPr>
          <w:lang w:val="uk-UA"/>
        </w:rPr>
      </w:pPr>
      <w:r>
        <w:rPr>
          <w:lang w:val="uk-UA"/>
        </w:rPr>
        <w:t>Рисунок 3.9 – При зміні одного з еталонів системі вдається розпізнати вхідний символ</w:t>
      </w:r>
    </w:p>
    <w:p w14:paraId="78E16212" w14:textId="797C336A" w:rsidR="0057033C" w:rsidRDefault="0057033C" w:rsidP="00D0411B">
      <w:pPr>
        <w:jc w:val="center"/>
        <w:rPr>
          <w:lang w:val="uk-UA"/>
        </w:rPr>
      </w:pPr>
    </w:p>
    <w:p w14:paraId="2CCD527C" w14:textId="0E009D2C" w:rsidR="0057033C" w:rsidRDefault="0057033C" w:rsidP="00D0411B">
      <w:pPr>
        <w:jc w:val="center"/>
        <w:rPr>
          <w:lang w:val="uk-UA"/>
        </w:rPr>
      </w:pPr>
      <w:r>
        <w:rPr>
          <w:lang w:val="uk-UA"/>
        </w:rPr>
        <w:t>Висновки</w:t>
      </w:r>
    </w:p>
    <w:p w14:paraId="489A4FF7" w14:textId="375863AA" w:rsidR="0057033C" w:rsidRPr="00D0411B" w:rsidRDefault="007E37F5" w:rsidP="007E37F5">
      <w:pPr>
        <w:rPr>
          <w:lang w:val="uk-UA"/>
        </w:rPr>
      </w:pPr>
      <w:r>
        <w:rPr>
          <w:lang w:val="uk-UA"/>
        </w:rPr>
        <w:t>Під час виконання лабораторної роботи були отримані та закріплені знанняя, були сформувані практичні навички роботи із нейронною мережею Хеммінга.</w:t>
      </w:r>
      <w:r w:rsidR="00BC27BC">
        <w:rPr>
          <w:lang w:val="uk-UA"/>
        </w:rPr>
        <w:t xml:space="preserve"> </w:t>
      </w:r>
      <w:r w:rsidR="005E59D7">
        <w:rPr>
          <w:lang w:val="uk-UA"/>
        </w:rPr>
        <w:t>Також була перевірена робота розробленої системи при наближенних значеннях двох еталонних зображеннях та при введенні символів, які відрізняються від еталонних.</w:t>
      </w:r>
    </w:p>
    <w:sectPr w:rsidR="0057033C" w:rsidRPr="00D04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6F"/>
    <w:rsid w:val="00020045"/>
    <w:rsid w:val="00050AC5"/>
    <w:rsid w:val="00066DE1"/>
    <w:rsid w:val="00074D6F"/>
    <w:rsid w:val="000B0B46"/>
    <w:rsid w:val="000B3A10"/>
    <w:rsid w:val="000B43A5"/>
    <w:rsid w:val="000C792E"/>
    <w:rsid w:val="000E33FC"/>
    <w:rsid w:val="000E4CCD"/>
    <w:rsid w:val="00111051"/>
    <w:rsid w:val="0012776C"/>
    <w:rsid w:val="00162BF6"/>
    <w:rsid w:val="0017608B"/>
    <w:rsid w:val="001A45D0"/>
    <w:rsid w:val="001C0B12"/>
    <w:rsid w:val="001C4637"/>
    <w:rsid w:val="001D1B6B"/>
    <w:rsid w:val="001D394B"/>
    <w:rsid w:val="001D4A73"/>
    <w:rsid w:val="001E650D"/>
    <w:rsid w:val="00211EC9"/>
    <w:rsid w:val="00251390"/>
    <w:rsid w:val="00263C5C"/>
    <w:rsid w:val="00281080"/>
    <w:rsid w:val="002A0385"/>
    <w:rsid w:val="002C3430"/>
    <w:rsid w:val="002D492B"/>
    <w:rsid w:val="003167B2"/>
    <w:rsid w:val="00323D6D"/>
    <w:rsid w:val="00334157"/>
    <w:rsid w:val="00337D96"/>
    <w:rsid w:val="0035451A"/>
    <w:rsid w:val="003557F2"/>
    <w:rsid w:val="003625A9"/>
    <w:rsid w:val="00371CEA"/>
    <w:rsid w:val="00372C3A"/>
    <w:rsid w:val="00380978"/>
    <w:rsid w:val="00382A76"/>
    <w:rsid w:val="00392AA2"/>
    <w:rsid w:val="003A6675"/>
    <w:rsid w:val="00411956"/>
    <w:rsid w:val="00434554"/>
    <w:rsid w:val="00436A2C"/>
    <w:rsid w:val="004434F1"/>
    <w:rsid w:val="00444AB0"/>
    <w:rsid w:val="0045524D"/>
    <w:rsid w:val="00462312"/>
    <w:rsid w:val="00464DE5"/>
    <w:rsid w:val="0048050A"/>
    <w:rsid w:val="00481A44"/>
    <w:rsid w:val="004C52B1"/>
    <w:rsid w:val="004D1D06"/>
    <w:rsid w:val="004F13A6"/>
    <w:rsid w:val="004F228C"/>
    <w:rsid w:val="00504145"/>
    <w:rsid w:val="00504673"/>
    <w:rsid w:val="005264FB"/>
    <w:rsid w:val="005611F7"/>
    <w:rsid w:val="00561D5F"/>
    <w:rsid w:val="00562412"/>
    <w:rsid w:val="005664A2"/>
    <w:rsid w:val="00567BAD"/>
    <w:rsid w:val="0057033C"/>
    <w:rsid w:val="00592376"/>
    <w:rsid w:val="00593067"/>
    <w:rsid w:val="005A2F1E"/>
    <w:rsid w:val="005B75B3"/>
    <w:rsid w:val="005D170C"/>
    <w:rsid w:val="005D1BC8"/>
    <w:rsid w:val="005D2589"/>
    <w:rsid w:val="005E59D7"/>
    <w:rsid w:val="00613C12"/>
    <w:rsid w:val="0064547E"/>
    <w:rsid w:val="00677AA6"/>
    <w:rsid w:val="006845E6"/>
    <w:rsid w:val="006B7E23"/>
    <w:rsid w:val="006D068D"/>
    <w:rsid w:val="006F1803"/>
    <w:rsid w:val="00701520"/>
    <w:rsid w:val="00723C03"/>
    <w:rsid w:val="00740AA5"/>
    <w:rsid w:val="007532C6"/>
    <w:rsid w:val="00753707"/>
    <w:rsid w:val="0076525F"/>
    <w:rsid w:val="007D6940"/>
    <w:rsid w:val="007E0C2C"/>
    <w:rsid w:val="007E25EF"/>
    <w:rsid w:val="007E37F5"/>
    <w:rsid w:val="008067FC"/>
    <w:rsid w:val="0085376A"/>
    <w:rsid w:val="00860C16"/>
    <w:rsid w:val="00863C86"/>
    <w:rsid w:val="00874D21"/>
    <w:rsid w:val="008B63E9"/>
    <w:rsid w:val="008C4922"/>
    <w:rsid w:val="008D3324"/>
    <w:rsid w:val="008D561A"/>
    <w:rsid w:val="008E6341"/>
    <w:rsid w:val="00920A4C"/>
    <w:rsid w:val="009303B4"/>
    <w:rsid w:val="00950D3B"/>
    <w:rsid w:val="00956787"/>
    <w:rsid w:val="00983BD0"/>
    <w:rsid w:val="009A11E7"/>
    <w:rsid w:val="009A34A6"/>
    <w:rsid w:val="009F02EB"/>
    <w:rsid w:val="00A428BB"/>
    <w:rsid w:val="00A81AA0"/>
    <w:rsid w:val="00A96523"/>
    <w:rsid w:val="00AA54C3"/>
    <w:rsid w:val="00AD4DF3"/>
    <w:rsid w:val="00B121A5"/>
    <w:rsid w:val="00B2460B"/>
    <w:rsid w:val="00B55556"/>
    <w:rsid w:val="00B91B4C"/>
    <w:rsid w:val="00B949C8"/>
    <w:rsid w:val="00BB50AE"/>
    <w:rsid w:val="00BC27BC"/>
    <w:rsid w:val="00BE6DE9"/>
    <w:rsid w:val="00BF2D0C"/>
    <w:rsid w:val="00C132C9"/>
    <w:rsid w:val="00C263DD"/>
    <w:rsid w:val="00C349C1"/>
    <w:rsid w:val="00C60A29"/>
    <w:rsid w:val="00C745AE"/>
    <w:rsid w:val="00C84E05"/>
    <w:rsid w:val="00C9289E"/>
    <w:rsid w:val="00C97BEA"/>
    <w:rsid w:val="00CA1A72"/>
    <w:rsid w:val="00CC61C3"/>
    <w:rsid w:val="00CD12BE"/>
    <w:rsid w:val="00D03BB9"/>
    <w:rsid w:val="00D0411B"/>
    <w:rsid w:val="00D057E6"/>
    <w:rsid w:val="00D1469C"/>
    <w:rsid w:val="00D176B9"/>
    <w:rsid w:val="00D37568"/>
    <w:rsid w:val="00D51E1A"/>
    <w:rsid w:val="00D65C6D"/>
    <w:rsid w:val="00D7059E"/>
    <w:rsid w:val="00D8353F"/>
    <w:rsid w:val="00D967D2"/>
    <w:rsid w:val="00DB33F8"/>
    <w:rsid w:val="00DB616C"/>
    <w:rsid w:val="00DB6618"/>
    <w:rsid w:val="00DE3053"/>
    <w:rsid w:val="00DF67B1"/>
    <w:rsid w:val="00E06579"/>
    <w:rsid w:val="00E143DE"/>
    <w:rsid w:val="00E4360D"/>
    <w:rsid w:val="00E90004"/>
    <w:rsid w:val="00E93637"/>
    <w:rsid w:val="00F24D1B"/>
    <w:rsid w:val="00F462CC"/>
    <w:rsid w:val="00F57966"/>
    <w:rsid w:val="00F733D7"/>
    <w:rsid w:val="00F846D8"/>
    <w:rsid w:val="00F91C3D"/>
    <w:rsid w:val="00F966D4"/>
    <w:rsid w:val="00FD6805"/>
    <w:rsid w:val="00FF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274F39"/>
  <w15:chartTrackingRefBased/>
  <w15:docId w15:val="{024E479B-E862-4F46-91F4-E6EE251CE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4A6"/>
    <w:pPr>
      <w:ind w:firstLine="369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61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7DAA5-186B-4943-A66A-5CB57ED41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554</Words>
  <Characters>3158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Storozhuk</dc:creator>
  <cp:keywords/>
  <dc:description/>
  <cp:lastModifiedBy>Oleksandr Storozhuk</cp:lastModifiedBy>
  <cp:revision>55</cp:revision>
  <dcterms:created xsi:type="dcterms:W3CDTF">2022-04-13T17:09:00Z</dcterms:created>
  <dcterms:modified xsi:type="dcterms:W3CDTF">2022-04-17T09:58:00Z</dcterms:modified>
</cp:coreProperties>
</file>