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4B2F59"/>
          <w:sz w:val="68"/>
        </w:rPr>
        <w:t>FOREVER</w:t>
        <w:br/>
        <w:t>BEGINS AGAIN</w:t>
      </w:r>
    </w:p>
    <w:p>
      <w:pPr>
        <w:jc w:val="center"/>
      </w:pPr>
      <w:r>
        <w:rPr>
          <w:b/>
          <w:color w:val="A46A58"/>
          <w:sz w:val="26"/>
        </w:rPr>
        <w:t>LOVE • LEISURE • CONNECTION • GROWTH</w:t>
      </w:r>
    </w:p>
    <w:p>
      <w:pPr>
        <w:spacing w:before="240"/>
        <w:jc w:val="center"/>
      </w:pPr>
      <w:r>
        <w:rPr>
          <w:i/>
          <w:sz w:val="32"/>
        </w:rPr>
        <w:t>A Global Love, Companionship &amp; Business Networking Community</w:t>
      </w:r>
    </w:p>
    <w:p>
      <w:pPr>
        <w:spacing w:before="800"/>
        <w:jc w:val="center"/>
      </w:pPr>
      <w:r>
        <w:rPr>
          <w:b/>
        </w:rPr>
        <w:t>Business Plan &amp; Launch Roadmap</w:t>
        <w:br/>
      </w:r>
      <w:r>
        <w:t>Proposed domain: foreverbeginsagain.org</w:t>
        <w:br/>
      </w:r>
      <w:r>
        <w:t>Target members: adults aged 40–80</w:t>
        <w:br/>
      </w:r>
      <w:r>
        <w:t>Prepared: October 2026</w:t>
      </w:r>
    </w:p>
    <w:p>
      <w:pPr>
        <w:spacing w:before="1400"/>
        <w:jc w:val="center"/>
      </w:pPr>
      <w:r>
        <w:rPr>
          <w:i/>
          <w:color w:val="4B2F59"/>
          <w:sz w:val="24"/>
        </w:rPr>
        <w:t>“Your past is a chapter. Your future is still a story.”</w:t>
      </w:r>
    </w:p>
    <w:p>
      <w:r>
        <w:br w:type="page"/>
      </w:r>
    </w:p>
    <w:p>
      <w:pPr>
        <w:pStyle w:val="Heading1"/>
      </w:pPr>
      <w:r>
        <w:t>Document Purpose &amp; Planning Assumptions</w:t>
      </w:r>
    </w:p>
    <w:p>
      <w:r>
        <w:t>This is a founder-ready working business plan for developing Forever Begins Again. It translates the concept into an operating model, initial product scope, revenue strategy, launch roadmap, and funding priorities. Financial figures are illustrative planning assumptions—not market research, guarantees, or quotations. Validate them with prospective members, payment providers, legal advisers, and developers before making commitments.</w:t>
      </w:r>
    </w:p>
    <w:p>
      <w:r>
        <w:t>Name and domain note: “Forever Begins Again” and foreverbeginsagain.org are the founder’s chosen brand and intended domain. Domain, trademark, company-name, and social-handle availability have not been verified in this document.</w:t>
      </w:r>
    </w:p>
    <w:p>
      <w:pPr>
        <w:pStyle w:val="Heading1"/>
      </w:pPr>
      <w:r>
        <w:t>Contents</w:t>
      </w:r>
    </w:p>
    <w:p>
      <w:pPr>
        <w:pStyle w:val="ListNumber"/>
      </w:pPr>
      <w:r>
        <w:t>1. Executive Summary</w:t>
      </w:r>
    </w:p>
    <w:p>
      <w:pPr>
        <w:pStyle w:val="ListNumber"/>
      </w:pPr>
      <w:r>
        <w:t>2. Vision, Mission &amp; Brand</w:t>
      </w:r>
    </w:p>
    <w:p>
      <w:pPr>
        <w:pStyle w:val="ListNumber"/>
      </w:pPr>
      <w:r>
        <w:t>3. The Need and Opportunity</w:t>
      </w:r>
    </w:p>
    <w:p>
      <w:pPr>
        <w:pStyle w:val="ListNumber"/>
      </w:pPr>
      <w:r>
        <w:t>4. Target Members and Market Position</w:t>
      </w:r>
    </w:p>
    <w:p>
      <w:pPr>
        <w:pStyle w:val="ListNumber"/>
      </w:pPr>
      <w:r>
        <w:t>5. Core Services and Member Experience</w:t>
      </w:r>
    </w:p>
    <w:p>
      <w:pPr>
        <w:pStyle w:val="ListNumber"/>
      </w:pPr>
      <w:r>
        <w:t>6. Business Model and Revenue</w:t>
      </w:r>
    </w:p>
    <w:p>
      <w:pPr>
        <w:pStyle w:val="ListNumber"/>
      </w:pPr>
      <w:r>
        <w:t>7. Illustrative Financial Model</w:t>
      </w:r>
    </w:p>
    <w:p>
      <w:pPr>
        <w:pStyle w:val="ListNumber"/>
      </w:pPr>
      <w:r>
        <w:t>8. Global Payments and Currency Strategy</w:t>
      </w:r>
    </w:p>
    <w:p>
      <w:pPr>
        <w:pStyle w:val="ListNumber"/>
      </w:pPr>
      <w:r>
        <w:t>9. Marketing and Member Acquisition</w:t>
      </w:r>
    </w:p>
    <w:p>
      <w:pPr>
        <w:pStyle w:val="ListNumber"/>
      </w:pPr>
      <w:r>
        <w:t>10. Operations, Trust, Safety and Compliance</w:t>
      </w:r>
    </w:p>
    <w:p>
      <w:pPr>
        <w:pStyle w:val="ListNumber"/>
      </w:pPr>
      <w:r>
        <w:t>11. Technology and Website Requirements</w:t>
      </w:r>
    </w:p>
    <w:p>
      <w:pPr>
        <w:pStyle w:val="ListNumber"/>
      </w:pPr>
      <w:r>
        <w:t>12. Launch Roadmap</w:t>
      </w:r>
    </w:p>
    <w:p>
      <w:pPr>
        <w:pStyle w:val="ListNumber"/>
      </w:pPr>
      <w:r>
        <w:t>13. Funding Plan and Use of Funds</w:t>
      </w:r>
    </w:p>
    <w:p>
      <w:pPr>
        <w:pStyle w:val="ListNumber"/>
      </w:pPr>
      <w:r>
        <w:t>14. Key Risks and Mitigation</w:t>
      </w:r>
    </w:p>
    <w:p>
      <w:pPr>
        <w:pStyle w:val="ListNumber"/>
      </w:pPr>
      <w:r>
        <w:t>15. Success Measures</w:t>
      </w:r>
    </w:p>
    <w:p>
      <w:pPr>
        <w:pStyle w:val="ListNumber"/>
      </w:pPr>
      <w:r>
        <w:t>16. Immediate Next Actions</w:t>
      </w:r>
    </w:p>
    <w:p>
      <w:r>
        <w:br w:type="page"/>
      </w:r>
    </w:p>
    <w:p>
      <w:pPr>
        <w:pStyle w:val="Heading1"/>
      </w:pPr>
      <w:r>
        <w:t>1. Executive Summary</w:t>
      </w:r>
    </w:p>
    <w:p>
      <w:r>
        <w:t>Forever Begins Again is a proposed global community for adults aged 40–80 who want to rediscover companionship, develop meaningful relationships, enjoy leisure and travel, and explore new experiences with others. The community will welcome single, divorced, widowed, and other adults who are available for a new relationship. It will also give members the option to build friendships without pursuing romance.</w:t>
      </w:r>
    </w:p>
    <w:p>
      <w:r>
        <w:t>A second core purpose is business networking. Business owners and professionals can introduce their businesses, exchange business ideas and models, discover suppliers and customers, and explore partnerships. The platform’s core promise is connection: personal connection, shared experiences, and professional growth.</w:t>
      </w:r>
    </w:p>
    <w:p>
      <w:r>
        <w:t>The initial product will be a responsive website designed for international use. It will include member accounts, personal profiles, consent-based connection and messaging features, separate business profiles, business networking tools, and an events area. The founder should begin with a controlled pilot and a focused feature set, then add more advanced functionality after validating demand and safety.</w:t>
      </w:r>
    </w:p>
    <w:p>
      <w:r>
        <w:t>The proposed business model combines optional paid memberships, business networking subscriptions, clearly labelled business listings or promotions, and fees from selected events or retreats. Travel and charitable initiatives should be introduced only with clear pricing, safeguards, and appropriate legal arrangements. The platform should not promise love, medical benefits, guaranteed business deals, or financial returns.</w:t>
      </w:r>
    </w:p>
    <w:p>
      <w:pPr>
        <w:pStyle w:val="Heading2"/>
      </w:pPr>
      <w:r>
        <w:t>Business at a Glance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B2F59"/>
          </w:tcPr>
          <w:p>
            <w:pPr>
              <w:spacing w:after="20"/>
            </w:pPr>
            <w:r/>
            <w:r>
              <w:rPr>
                <w:rFonts w:ascii="Aptos" w:hAnsi="Aptos"/>
                <w:b/>
                <w:color w:val="FFFFFF"/>
                <w:sz w:val="18"/>
              </w:rPr>
              <w:t>Item</w:t>
            </w:r>
          </w:p>
        </w:tc>
        <w:tc>
          <w:tcPr>
            <w:tcW w:type="dxa" w:w="4968"/>
            <w:vAlign w:val="center"/>
            <w:shd w:fill="4B2F59"/>
          </w:tcPr>
          <w:p>
            <w:pPr>
              <w:spacing w:after="20"/>
            </w:pPr>
            <w:r/>
            <w:r>
              <w:rPr>
                <w:rFonts w:ascii="Aptos" w:hAnsi="Aptos"/>
                <w:b/>
                <w:color w:val="FFFFFF"/>
                <w:sz w:val="18"/>
              </w:rPr>
              <w:t>Proposed direction</w:t>
            </w:r>
          </w:p>
        </w:tc>
      </w:tr>
      <w:tr>
        <w:tc>
          <w:tcPr>
            <w:tcW w:type="dxa" w:w="4968"/>
            <w:vAlign w:val="center"/>
          </w:tcPr>
          <w:p>
            <w:pPr>
              <w:spacing w:after="20"/>
            </w:pPr>
            <w:r/>
            <w:r>
              <w:rPr>
                <w:rFonts w:ascii="Aptos" w:hAnsi="Aptos"/>
                <w:b w:val="0"/>
                <w:sz w:val="18"/>
              </w:rPr>
              <w:t>Brand</w:t>
            </w:r>
          </w:p>
        </w:tc>
        <w:tc>
          <w:tcPr>
            <w:tcW w:type="dxa" w:w="4968"/>
            <w:vAlign w:val="center"/>
          </w:tcPr>
          <w:p>
            <w:pPr>
              <w:spacing w:after="20"/>
            </w:pPr>
            <w:r/>
            <w:r>
              <w:rPr>
                <w:rFonts w:ascii="Aptos" w:hAnsi="Aptos"/>
                <w:b w:val="0"/>
                <w:sz w:val="18"/>
              </w:rPr>
              <w:t>Forever Begins Again</w:t>
            </w:r>
          </w:p>
        </w:tc>
      </w:tr>
      <w:tr>
        <w:tc>
          <w:tcPr>
            <w:tcW w:type="dxa" w:w="4968"/>
            <w:vAlign w:val="center"/>
            <w:shd w:fill="F3EEF5"/>
          </w:tcPr>
          <w:p>
            <w:pPr>
              <w:spacing w:after="20"/>
            </w:pPr>
            <w:r/>
            <w:r>
              <w:rPr>
                <w:rFonts w:ascii="Aptos" w:hAnsi="Aptos"/>
                <w:b w:val="0"/>
                <w:sz w:val="18"/>
              </w:rPr>
              <w:t>Proposed domain</w:t>
            </w:r>
          </w:p>
        </w:tc>
        <w:tc>
          <w:tcPr>
            <w:tcW w:type="dxa" w:w="4968"/>
            <w:vAlign w:val="center"/>
            <w:shd w:fill="F3EEF5"/>
          </w:tcPr>
          <w:p>
            <w:pPr>
              <w:spacing w:after="20"/>
            </w:pPr>
            <w:r/>
            <w:r>
              <w:rPr>
                <w:rFonts w:ascii="Aptos" w:hAnsi="Aptos"/>
                <w:b w:val="0"/>
                <w:sz w:val="18"/>
              </w:rPr>
              <w:t>foreverbeginsagain.org (availability to be checked)</w:t>
            </w:r>
          </w:p>
        </w:tc>
      </w:tr>
      <w:tr>
        <w:tc>
          <w:tcPr>
            <w:tcW w:type="dxa" w:w="4968"/>
            <w:vAlign w:val="center"/>
          </w:tcPr>
          <w:p>
            <w:pPr>
              <w:spacing w:after="20"/>
            </w:pPr>
            <w:r/>
            <w:r>
              <w:rPr>
                <w:rFonts w:ascii="Aptos" w:hAnsi="Aptos"/>
                <w:b w:val="0"/>
                <w:sz w:val="18"/>
              </w:rPr>
              <w:t>Tagline</w:t>
            </w:r>
          </w:p>
        </w:tc>
        <w:tc>
          <w:tcPr>
            <w:tcW w:type="dxa" w:w="4968"/>
            <w:vAlign w:val="center"/>
          </w:tcPr>
          <w:p>
            <w:pPr>
              <w:spacing w:after="20"/>
            </w:pPr>
            <w:r/>
            <w:r>
              <w:rPr>
                <w:rFonts w:ascii="Aptos" w:hAnsi="Aptos"/>
                <w:b w:val="0"/>
                <w:sz w:val="18"/>
              </w:rPr>
              <w:t>Your Past Is a Chapter. Your Future Is Still a Story.</w:t>
            </w:r>
          </w:p>
        </w:tc>
      </w:tr>
      <w:tr>
        <w:tc>
          <w:tcPr>
            <w:tcW w:type="dxa" w:w="4968"/>
            <w:vAlign w:val="center"/>
            <w:shd w:fill="F3EEF5"/>
          </w:tcPr>
          <w:p>
            <w:pPr>
              <w:spacing w:after="20"/>
            </w:pPr>
            <w:r/>
            <w:r>
              <w:rPr>
                <w:rFonts w:ascii="Aptos" w:hAnsi="Aptos"/>
                <w:b w:val="0"/>
                <w:sz w:val="18"/>
              </w:rPr>
              <w:t>Audience</w:t>
            </w:r>
          </w:p>
        </w:tc>
        <w:tc>
          <w:tcPr>
            <w:tcW w:type="dxa" w:w="4968"/>
            <w:vAlign w:val="center"/>
            <w:shd w:fill="F3EEF5"/>
          </w:tcPr>
          <w:p>
            <w:pPr>
              <w:spacing w:after="20"/>
            </w:pPr>
            <w:r/>
            <w:r>
              <w:rPr>
                <w:rFonts w:ascii="Aptos" w:hAnsi="Aptos"/>
                <w:b w:val="0"/>
                <w:sz w:val="18"/>
              </w:rPr>
              <w:t>Adults aged 40–80 worldwide</w:t>
            </w:r>
          </w:p>
        </w:tc>
      </w:tr>
      <w:tr>
        <w:tc>
          <w:tcPr>
            <w:tcW w:type="dxa" w:w="4968"/>
            <w:vAlign w:val="center"/>
          </w:tcPr>
          <w:p>
            <w:pPr>
              <w:spacing w:after="20"/>
            </w:pPr>
            <w:r/>
            <w:r>
              <w:rPr>
                <w:rFonts w:ascii="Aptos" w:hAnsi="Aptos"/>
                <w:b w:val="0"/>
                <w:sz w:val="18"/>
              </w:rPr>
              <w:t>Core purpose 1</w:t>
            </w:r>
          </w:p>
        </w:tc>
        <w:tc>
          <w:tcPr>
            <w:tcW w:type="dxa" w:w="4968"/>
            <w:vAlign w:val="center"/>
          </w:tcPr>
          <w:p>
            <w:pPr>
              <w:spacing w:after="20"/>
            </w:pPr>
            <w:r/>
            <w:r>
              <w:rPr>
                <w:rFonts w:ascii="Aptos" w:hAnsi="Aptos"/>
                <w:b w:val="0"/>
                <w:sz w:val="18"/>
              </w:rPr>
              <w:t>Love, companionship, friendship, and meaningful connections</w:t>
            </w:r>
          </w:p>
        </w:tc>
      </w:tr>
      <w:tr>
        <w:tc>
          <w:tcPr>
            <w:tcW w:type="dxa" w:w="4968"/>
            <w:vAlign w:val="center"/>
            <w:shd w:fill="F3EEF5"/>
          </w:tcPr>
          <w:p>
            <w:pPr>
              <w:spacing w:after="20"/>
            </w:pPr>
            <w:r/>
            <w:r>
              <w:rPr>
                <w:rFonts w:ascii="Aptos" w:hAnsi="Aptos"/>
                <w:b w:val="0"/>
                <w:sz w:val="18"/>
              </w:rPr>
              <w:t>Core purpose 2</w:t>
            </w:r>
          </w:p>
        </w:tc>
        <w:tc>
          <w:tcPr>
            <w:tcW w:type="dxa" w:w="4968"/>
            <w:vAlign w:val="center"/>
            <w:shd w:fill="F3EEF5"/>
          </w:tcPr>
          <w:p>
            <w:pPr>
              <w:spacing w:after="20"/>
            </w:pPr>
            <w:r/>
            <w:r>
              <w:rPr>
                <w:rFonts w:ascii="Aptos" w:hAnsi="Aptos"/>
                <w:b w:val="0"/>
                <w:sz w:val="18"/>
              </w:rPr>
              <w:t>Business networking, exchanging ideas, and growing together</w:t>
            </w:r>
          </w:p>
        </w:tc>
      </w:tr>
      <w:tr>
        <w:tc>
          <w:tcPr>
            <w:tcW w:type="dxa" w:w="4968"/>
            <w:vAlign w:val="center"/>
          </w:tcPr>
          <w:p>
            <w:pPr>
              <w:spacing w:after="20"/>
            </w:pPr>
            <w:r/>
            <w:r>
              <w:rPr>
                <w:rFonts w:ascii="Aptos" w:hAnsi="Aptos"/>
                <w:b w:val="0"/>
                <w:sz w:val="18"/>
              </w:rPr>
              <w:t>Community experiences</w:t>
            </w:r>
          </w:p>
        </w:tc>
        <w:tc>
          <w:tcPr>
            <w:tcW w:type="dxa" w:w="4968"/>
            <w:vAlign w:val="center"/>
          </w:tcPr>
          <w:p>
            <w:pPr>
              <w:spacing w:after="20"/>
            </w:pPr>
            <w:r/>
            <w:r>
              <w:rPr>
                <w:rFonts w:ascii="Aptos" w:hAnsi="Aptos"/>
                <w:b w:val="0"/>
                <w:sz w:val="18"/>
              </w:rPr>
              <w:t>Leisure, group travel, vacations, retreats, and shared activities</w:t>
            </w:r>
          </w:p>
        </w:tc>
      </w:tr>
      <w:tr>
        <w:tc>
          <w:tcPr>
            <w:tcW w:type="dxa" w:w="4968"/>
            <w:vAlign w:val="center"/>
            <w:shd w:fill="F3EEF5"/>
          </w:tcPr>
          <w:p>
            <w:pPr>
              <w:spacing w:after="20"/>
            </w:pPr>
            <w:r/>
            <w:r>
              <w:rPr>
                <w:rFonts w:ascii="Aptos" w:hAnsi="Aptos"/>
                <w:b w:val="0"/>
                <w:sz w:val="18"/>
              </w:rPr>
              <w:t>Initial format</w:t>
            </w:r>
          </w:p>
        </w:tc>
        <w:tc>
          <w:tcPr>
            <w:tcW w:type="dxa" w:w="4968"/>
            <w:vAlign w:val="center"/>
            <w:shd w:fill="F3EEF5"/>
          </w:tcPr>
          <w:p>
            <w:pPr>
              <w:spacing w:after="20"/>
            </w:pPr>
            <w:r/>
            <w:r>
              <w:rPr>
                <w:rFonts w:ascii="Aptos" w:hAnsi="Aptos"/>
                <w:b w:val="0"/>
                <w:sz w:val="18"/>
              </w:rPr>
              <w:t>Mobile-friendly website; native app considered later</w:t>
            </w:r>
          </w:p>
        </w:tc>
      </w:tr>
      <w:tr>
        <w:tc>
          <w:tcPr>
            <w:tcW w:type="dxa" w:w="4968"/>
            <w:vAlign w:val="center"/>
          </w:tcPr>
          <w:p>
            <w:pPr>
              <w:spacing w:after="20"/>
            </w:pPr>
            <w:r/>
            <w:r>
              <w:rPr>
                <w:rFonts w:ascii="Aptos" w:hAnsi="Aptos"/>
                <w:b w:val="0"/>
                <w:sz w:val="18"/>
              </w:rPr>
              <w:t>Founder’s objective</w:t>
            </w:r>
          </w:p>
        </w:tc>
        <w:tc>
          <w:tcPr>
            <w:tcW w:type="dxa" w:w="4968"/>
            <w:vAlign w:val="center"/>
          </w:tcPr>
          <w:p>
            <w:pPr>
              <w:spacing w:after="20"/>
            </w:pPr>
            <w:r/>
            <w:r>
              <w:rPr>
                <w:rFonts w:ascii="Aptos" w:hAnsi="Aptos"/>
                <w:b w:val="0"/>
                <w:sz w:val="18"/>
              </w:rPr>
              <w:t>Build a sustainable business with measurable community value</w:t>
            </w:r>
          </w:p>
        </w:tc>
      </w:tr>
    </w:tbl>
    <w:p/>
    <w:p>
      <w:pPr>
        <w:pStyle w:val="Heading1"/>
      </w:pPr>
      <w:r>
        <w:t>2. Vision, Mission &amp; Brand</w:t>
      </w:r>
    </w:p>
    <w:p>
      <w:pPr>
        <w:pStyle w:val="Heading2"/>
      </w:pPr>
      <w:r>
        <w:t>Vision</w:t>
      </w:r>
    </w:p>
    <w:p>
      <w:r>
        <w:t>To create a trusted global community where adults aged 40–80 can build meaningful relationships, enjoy life’s next chapter, and develop valuable business connections.</w:t>
      </w:r>
    </w:p>
    <w:p>
      <w:pPr>
        <w:pStyle w:val="Heading2"/>
      </w:pPr>
      <w:r>
        <w:t>Mission</w:t>
      </w:r>
    </w:p>
    <w:p>
      <w:r>
        <w:t>To bring people together through companionship, friendship, leisure, travel, and business networking—helping members form connections, exchange knowledge, collaborate, and contribute positively to their communities.</w:t>
      </w:r>
    </w:p>
    <w:p>
      <w:pPr>
        <w:pStyle w:val="Heading2"/>
      </w:pPr>
      <w:r>
        <w:t>Brand promise</w:t>
      </w:r>
    </w:p>
    <w:p>
      <w:r>
        <w:t>A welcoming place to connect with people, explore new experiences, and grow together—at your own pace and on your own terms.</w:t>
      </w:r>
    </w:p>
    <w:p>
      <w:pPr>
        <w:pStyle w:val="Heading2"/>
      </w:pPr>
      <w:r>
        <w:t>Core values</w:t>
      </w:r>
    </w:p>
    <w:p>
      <w:pPr>
        <w:pStyle w:val="ListBullet"/>
      </w:pPr>
      <w:r>
        <w:t>Respect and dignity: every member is treated fairly, without pressure or judgement.</w:t>
      </w:r>
    </w:p>
    <w:p>
      <w:pPr>
        <w:pStyle w:val="ListBullet"/>
      </w:pPr>
      <w:r>
        <w:t>Trust and safety: clear rules, privacy controls, reporting, and responsible moderation.</w:t>
      </w:r>
    </w:p>
    <w:p>
      <w:pPr>
        <w:pStyle w:val="ListBullet"/>
      </w:pPr>
      <w:r>
        <w:t>Authentic connection: mutual interest and consent guide personal connections.</w:t>
      </w:r>
    </w:p>
    <w:p>
      <w:pPr>
        <w:pStyle w:val="ListBullet"/>
      </w:pPr>
      <w:r>
        <w:t>Growth: members can learn from each other and explore business collaboration.</w:t>
      </w:r>
    </w:p>
    <w:p>
      <w:pPr>
        <w:pStyle w:val="ListBullet"/>
      </w:pPr>
      <w:r>
        <w:t>Togetherness: shared activities and community participation create belonging.</w:t>
      </w:r>
    </w:p>
    <w:p>
      <w:pPr>
        <w:pStyle w:val="ListBullet"/>
      </w:pPr>
      <w:r>
        <w:t>Transparency: prices, event terms, advertising, and use of funds are clearly explained.</w:t>
      </w:r>
    </w:p>
    <w:p>
      <w:pPr>
        <w:pStyle w:val="Heading1"/>
      </w:pPr>
      <w:r>
        <w:t>3. The Need and Opportunity</w:t>
      </w:r>
    </w:p>
    <w:p>
      <w:r>
        <w:t>Adults in midlife and later life may experience changes such as divorce, bereavement, retirement, relocation, or a reduced social circle. Some want a romantic relationship; others want friendship, travel companions, or a renewed social life. Business owners may also value access to trusted peers, new markets, suppliers, customers, and practical business knowledge.</w:t>
      </w:r>
    </w:p>
    <w:p>
      <w:r>
        <w:t>Forever Begins Again brings these needs together in one carefully organised community. Its differentiation is not simply age-based dating or a generic business directory: it is a community centred on adults 40–80, with personal connections and business networking as its two primary purposes, supported by shared leisure and travel experiences.</w:t>
      </w:r>
    </w:p>
    <w:p>
      <w:r>
        <w:t>Validation is essential. Before major spending, interview potential members in several target markets, test the name and message, compare existing services, and measure willingness to join and pay. Avoid assuming that all adults in this age range share the same needs or comfort with technology.</w:t>
      </w:r>
    </w:p>
    <w:p>
      <w:pPr>
        <w:pStyle w:val="Heading1"/>
      </w:pPr>
      <w:r>
        <w:t>4. Target Members and Market Position</w:t>
      </w:r>
    </w:p>
    <w:p>
      <w:pPr>
        <w:pStyle w:val="Heading2"/>
      </w:pPr>
      <w:r>
        <w:t>Primary member groups</w:t>
      </w:r>
    </w:p>
    <w:p>
      <w:pPr>
        <w:pStyle w:val="ListBullet"/>
      </w:pPr>
      <w:r>
        <w:t>Adults aged 40–80 seeking a serious romantic relationship or companionship.</w:t>
      </w:r>
    </w:p>
    <w:p>
      <w:pPr>
        <w:pStyle w:val="ListBullet"/>
      </w:pPr>
      <w:r>
        <w:t>Single, divorced, widowed, and separated adults who are available to pursue a new relationship.</w:t>
      </w:r>
    </w:p>
    <w:p>
      <w:pPr>
        <w:pStyle w:val="ListBullet"/>
      </w:pPr>
      <w:r>
        <w:t>Adults who want friendship and shared activities, whether or not they are seeking romance.</w:t>
      </w:r>
    </w:p>
    <w:p>
      <w:pPr>
        <w:pStyle w:val="ListBullet"/>
      </w:pPr>
      <w:r>
        <w:t>Business owners and professionals who want to exchange knowledge, find suppliers or customers, and explore partnerships.</w:t>
      </w:r>
    </w:p>
    <w:p>
      <w:pPr>
        <w:pStyle w:val="ListBullet"/>
      </w:pPr>
      <w:r>
        <w:t>Members who want to join group leisure activities, vacations, or retreats.</w:t>
      </w:r>
    </w:p>
    <w:p>
      <w:pPr>
        <w:pStyle w:val="Heading2"/>
      </w:pPr>
      <w:r>
        <w:t>Global approach</w:t>
      </w:r>
    </w:p>
    <w:p>
      <w:r>
        <w:t>The service can be open to international members from launch, but promotion should focus initially on a small number of selected markets. This allows the founder to learn what members need, build active local clusters, and manage customer support and moderation. The platform should support country and city selection, time-zone-aware events, and a currency-aware checkout where supported.</w:t>
      </w:r>
    </w:p>
    <w:p>
      <w:pPr>
        <w:pStyle w:val="Heading2"/>
      </w:pPr>
      <w:r>
        <w:t>Positioning statement</w:t>
      </w:r>
    </w:p>
    <w:p>
      <w:r>
        <w:t>For adults aged 40–80 who want meaningful connection and renewed opportunities, Forever Begins Again is a global community that brings companionship and business networking together with shared leisure and travel experiences.</w:t>
      </w:r>
    </w:p>
    <w:p>
      <w:pPr>
        <w:pStyle w:val="Heading1"/>
      </w:pPr>
      <w:r>
        <w:t>5. Core Services and Member Experience</w:t>
      </w:r>
    </w:p>
    <w:p>
      <w:pPr>
        <w:pStyle w:val="Heading2"/>
      </w:pPr>
      <w:r>
        <w:t>A. Love and companionship</w:t>
      </w:r>
    </w:p>
    <w:p>
      <w:pPr>
        <w:pStyle w:val="ListBullet"/>
      </w:pPr>
      <w:r>
        <w:t>Personal profiles with chosen display name, age, general location, interests, and relationship goals.</w:t>
      </w:r>
    </w:p>
    <w:p>
      <w:pPr>
        <w:pStyle w:val="ListBullet"/>
      </w:pPr>
      <w:r>
        <w:t>Preferences for friendship or romantic connection, controlled by each member.</w:t>
      </w:r>
    </w:p>
    <w:p>
      <w:pPr>
        <w:pStyle w:val="ListBullet"/>
      </w:pPr>
      <w:r>
        <w:t>Connection requests and matching based on mutual preferences.</w:t>
      </w:r>
    </w:p>
    <w:p>
      <w:pPr>
        <w:pStyle w:val="ListBullet"/>
      </w:pPr>
      <w:r>
        <w:t>Private messaging only after suitable consent-based connection controls.</w:t>
      </w:r>
    </w:p>
    <w:p>
      <w:pPr>
        <w:pStyle w:val="ListBullet"/>
      </w:pPr>
      <w:r>
        <w:t>Block, report, and privacy controls available to all members.</w:t>
      </w:r>
    </w:p>
    <w:p>
      <w:pPr>
        <w:pStyle w:val="ListBullet"/>
      </w:pPr>
      <w:r>
        <w:t>Optional community conversations and online introductions.</w:t>
      </w:r>
    </w:p>
    <w:p>
      <w:pPr>
        <w:pStyle w:val="Heading2"/>
      </w:pPr>
      <w:r>
        <w:t>B. Business networking and growth</w:t>
      </w:r>
    </w:p>
    <w:p>
      <w:pPr>
        <w:pStyle w:val="ListBullet"/>
      </w:pPr>
      <w:r>
        <w:t>Separate business profiles linked to a member account, with business name, industry, products/services, service area, and business contact options.</w:t>
      </w:r>
    </w:p>
    <w:p>
      <w:pPr>
        <w:pStyle w:val="ListBullet"/>
      </w:pPr>
      <w:r>
        <w:t>Networking discussions and knowledge exchange around sales, marketing, operations, cash flow, customer service, and business development.</w:t>
      </w:r>
    </w:p>
    <w:p>
      <w:pPr>
        <w:pStyle w:val="ListBullet"/>
      </w:pPr>
      <w:r>
        <w:t>Requests for suppliers, customers, distribution partners, and collaborators.</w:t>
      </w:r>
    </w:p>
    <w:p>
      <w:pPr>
        <w:pStyle w:val="ListBullet"/>
      </w:pPr>
      <w:r>
        <w:t>Business opportunity posts subject to moderation and rules against misleading claims.</w:t>
      </w:r>
    </w:p>
    <w:p>
      <w:pPr>
        <w:pStyle w:val="ListBullet"/>
      </w:pPr>
      <w:r>
        <w:t>Business events or online networking sessions, added when there is enough member demand.</w:t>
      </w:r>
    </w:p>
    <w:p>
      <w:pPr>
        <w:pStyle w:val="Heading2"/>
      </w:pPr>
      <w:r>
        <w:t>C. Leisure, vacation, retreat, and exploring life together</w:t>
      </w:r>
    </w:p>
    <w:p>
      <w:r>
        <w:t>Members may discover community events and optional group experiences. Begin with low-complexity online gatherings and local meetups. Add vacations and retreats only after establishing clear itineraries, transparent prices, refund/cancellation rules, participant support, and agreements with reputable travel providers. If the platform sells or packages travel, obtain advice on the licensing, insurance, consumer-protection, and tax obligations that apply in each relevant jurisdiction.</w:t>
      </w:r>
    </w:p>
    <w:p>
      <w:pPr>
        <w:pStyle w:val="Heading2"/>
      </w:pPr>
      <w:r>
        <w:t>D. Keep the experience clear</w:t>
      </w:r>
    </w:p>
    <w:p>
      <w:r>
        <w:t>Romantic matching and business recommendations should remain separate experiences. A member’s dating preferences should not be used to determine business visibility, and business participation should never imply romantic interest. Members should be able to use business networking or friendship features without pursuing dating.</w:t>
      </w:r>
    </w:p>
    <w:p>
      <w:pPr>
        <w:pStyle w:val="Heading1"/>
      </w:pPr>
      <w:r>
        <w:t>6. Business Model and Revenue</w:t>
      </w:r>
    </w:p>
    <w:p>
      <w:r>
        <w:t>The platform should launch with a simple, transparent model. Avoid adding too many paid tiers before testing what members value.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4B2F59"/>
          </w:tcPr>
          <w:p>
            <w:pPr>
              <w:spacing w:after="20"/>
            </w:pPr>
            <w:r/>
            <w:r>
              <w:rPr>
                <w:rFonts w:ascii="Aptos" w:hAnsi="Aptos"/>
                <w:b/>
                <w:color w:val="FFFFFF"/>
                <w:sz w:val="18"/>
              </w:rPr>
              <w:t>Revenue stream</w:t>
            </w:r>
          </w:p>
        </w:tc>
        <w:tc>
          <w:tcPr>
            <w:tcW w:type="dxa" w:w="3312"/>
            <w:vAlign w:val="center"/>
            <w:shd w:fill="4B2F59"/>
          </w:tcPr>
          <w:p>
            <w:pPr>
              <w:spacing w:after="20"/>
            </w:pPr>
            <w:r/>
            <w:r>
              <w:rPr>
                <w:rFonts w:ascii="Aptos" w:hAnsi="Aptos"/>
                <w:b/>
                <w:color w:val="FFFFFF"/>
                <w:sz w:val="18"/>
              </w:rPr>
              <w:t>What customers pay for</w:t>
            </w:r>
          </w:p>
        </w:tc>
        <w:tc>
          <w:tcPr>
            <w:tcW w:type="dxa" w:w="3312"/>
            <w:vAlign w:val="center"/>
            <w:shd w:fill="4B2F59"/>
          </w:tcPr>
          <w:p>
            <w:pPr>
              <w:spacing w:after="20"/>
            </w:pPr>
            <w:r/>
            <w:r>
              <w:rPr>
                <w:rFonts w:ascii="Aptos" w:hAnsi="Aptos"/>
                <w:b/>
                <w:color w:val="FFFFFF"/>
                <w:sz w:val="18"/>
              </w:rPr>
              <w:t>When to introduce</w:t>
            </w:r>
          </w:p>
        </w:tc>
      </w:tr>
      <w:tr>
        <w:tc>
          <w:tcPr>
            <w:tcW w:type="dxa" w:w="3312"/>
            <w:vAlign w:val="center"/>
          </w:tcPr>
          <w:p>
            <w:pPr>
              <w:spacing w:after="20"/>
            </w:pPr>
            <w:r/>
            <w:r>
              <w:rPr>
                <w:rFonts w:ascii="Aptos" w:hAnsi="Aptos"/>
                <w:b w:val="0"/>
                <w:sz w:val="18"/>
              </w:rPr>
              <w:t>Optional paid membership</w:t>
            </w:r>
          </w:p>
        </w:tc>
        <w:tc>
          <w:tcPr>
            <w:tcW w:type="dxa" w:w="3312"/>
            <w:vAlign w:val="center"/>
          </w:tcPr>
          <w:p>
            <w:pPr>
              <w:spacing w:after="20"/>
            </w:pPr>
            <w:r/>
            <w:r>
              <w:rPr>
                <w:rFonts w:ascii="Aptos" w:hAnsi="Aptos"/>
                <w:b w:val="0"/>
                <w:sz w:val="18"/>
              </w:rPr>
              <w:t>Additional community or connection features; never paywalled safety tools</w:t>
            </w:r>
          </w:p>
        </w:tc>
        <w:tc>
          <w:tcPr>
            <w:tcW w:type="dxa" w:w="3312"/>
            <w:vAlign w:val="center"/>
          </w:tcPr>
          <w:p>
            <w:pPr>
              <w:spacing w:after="20"/>
            </w:pPr>
            <w:r/>
            <w:r>
              <w:rPr>
                <w:rFonts w:ascii="Aptos" w:hAnsi="Aptos"/>
                <w:b w:val="0"/>
                <w:sz w:val="18"/>
              </w:rPr>
              <w:t>After pilot validation</w:t>
            </w:r>
          </w:p>
        </w:tc>
      </w:tr>
      <w:tr>
        <w:tc>
          <w:tcPr>
            <w:tcW w:type="dxa" w:w="3312"/>
            <w:vAlign w:val="center"/>
            <w:shd w:fill="F3EEF5"/>
          </w:tcPr>
          <w:p>
            <w:pPr>
              <w:spacing w:after="20"/>
            </w:pPr>
            <w:r/>
            <w:r>
              <w:rPr>
                <w:rFonts w:ascii="Aptos" w:hAnsi="Aptos"/>
                <w:b w:val="0"/>
                <w:sz w:val="18"/>
              </w:rPr>
              <w:t>Business membership</w:t>
            </w:r>
          </w:p>
        </w:tc>
        <w:tc>
          <w:tcPr>
            <w:tcW w:type="dxa" w:w="3312"/>
            <w:vAlign w:val="center"/>
            <w:shd w:fill="F3EEF5"/>
          </w:tcPr>
          <w:p>
            <w:pPr>
              <w:spacing w:after="20"/>
            </w:pPr>
            <w:r/>
            <w:r>
              <w:rPr>
                <w:rFonts w:ascii="Aptos" w:hAnsi="Aptos"/>
                <w:b w:val="0"/>
                <w:sz w:val="18"/>
              </w:rPr>
              <w:t>Enhanced business profile and selected networking tools</w:t>
            </w:r>
          </w:p>
        </w:tc>
        <w:tc>
          <w:tcPr>
            <w:tcW w:type="dxa" w:w="3312"/>
            <w:vAlign w:val="center"/>
            <w:shd w:fill="F3EEF5"/>
          </w:tcPr>
          <w:p>
            <w:pPr>
              <w:spacing w:after="20"/>
            </w:pPr>
            <w:r/>
            <w:r>
              <w:rPr>
                <w:rFonts w:ascii="Aptos" w:hAnsi="Aptos"/>
                <w:b w:val="0"/>
                <w:sz w:val="18"/>
              </w:rPr>
              <w:t>After business network shows active use</w:t>
            </w:r>
          </w:p>
        </w:tc>
      </w:tr>
      <w:tr>
        <w:tc>
          <w:tcPr>
            <w:tcW w:type="dxa" w:w="3312"/>
            <w:vAlign w:val="center"/>
          </w:tcPr>
          <w:p>
            <w:pPr>
              <w:spacing w:after="20"/>
            </w:pPr>
            <w:r/>
            <w:r>
              <w:rPr>
                <w:rFonts w:ascii="Aptos" w:hAnsi="Aptos"/>
                <w:b w:val="0"/>
                <w:sz w:val="18"/>
              </w:rPr>
              <w:t>Clearly labelled promotion</w:t>
            </w:r>
          </w:p>
        </w:tc>
        <w:tc>
          <w:tcPr>
            <w:tcW w:type="dxa" w:w="3312"/>
            <w:vAlign w:val="center"/>
          </w:tcPr>
          <w:p>
            <w:pPr>
              <w:spacing w:after="20"/>
            </w:pPr>
            <w:r/>
            <w:r>
              <w:rPr>
                <w:rFonts w:ascii="Aptos" w:hAnsi="Aptos"/>
                <w:b w:val="0"/>
                <w:sz w:val="18"/>
              </w:rPr>
              <w:t>Sponsored business listing or promotional placement</w:t>
            </w:r>
          </w:p>
        </w:tc>
        <w:tc>
          <w:tcPr>
            <w:tcW w:type="dxa" w:w="3312"/>
            <w:vAlign w:val="center"/>
          </w:tcPr>
          <w:p>
            <w:pPr>
              <w:spacing w:after="20"/>
            </w:pPr>
            <w:r/>
            <w:r>
              <w:rPr>
                <w:rFonts w:ascii="Aptos" w:hAnsi="Aptos"/>
                <w:b w:val="0"/>
                <w:sz w:val="18"/>
              </w:rPr>
              <w:t>Once meaningful audience and moderation exist</w:t>
            </w:r>
          </w:p>
        </w:tc>
      </w:tr>
      <w:tr>
        <w:tc>
          <w:tcPr>
            <w:tcW w:type="dxa" w:w="3312"/>
            <w:vAlign w:val="center"/>
            <w:shd w:fill="F3EEF5"/>
          </w:tcPr>
          <w:p>
            <w:pPr>
              <w:spacing w:after="20"/>
            </w:pPr>
            <w:r/>
            <w:r>
              <w:rPr>
                <w:rFonts w:ascii="Aptos" w:hAnsi="Aptos"/>
                <w:b w:val="0"/>
                <w:sz w:val="18"/>
              </w:rPr>
              <w:t>Events and workshops</w:t>
            </w:r>
          </w:p>
        </w:tc>
        <w:tc>
          <w:tcPr>
            <w:tcW w:type="dxa" w:w="3312"/>
            <w:vAlign w:val="center"/>
            <w:shd w:fill="F3EEF5"/>
          </w:tcPr>
          <w:p>
            <w:pPr>
              <w:spacing w:after="20"/>
            </w:pPr>
            <w:r/>
            <w:r>
              <w:rPr>
                <w:rFonts w:ascii="Aptos" w:hAnsi="Aptos"/>
                <w:b w:val="0"/>
                <w:sz w:val="18"/>
              </w:rPr>
              <w:t>Ticket or participation fee for selected events</w:t>
            </w:r>
          </w:p>
        </w:tc>
        <w:tc>
          <w:tcPr>
            <w:tcW w:type="dxa" w:w="3312"/>
            <w:vAlign w:val="center"/>
            <w:shd w:fill="F3EEF5"/>
          </w:tcPr>
          <w:p>
            <w:pPr>
              <w:spacing w:after="20"/>
            </w:pPr>
            <w:r/>
            <w:r>
              <w:rPr>
                <w:rFonts w:ascii="Aptos" w:hAnsi="Aptos"/>
                <w:b w:val="0"/>
                <w:sz w:val="18"/>
              </w:rPr>
              <w:t>After event demand is demonstrated</w:t>
            </w:r>
          </w:p>
        </w:tc>
      </w:tr>
      <w:tr>
        <w:tc>
          <w:tcPr>
            <w:tcW w:type="dxa" w:w="3312"/>
            <w:vAlign w:val="center"/>
          </w:tcPr>
          <w:p>
            <w:pPr>
              <w:spacing w:after="20"/>
            </w:pPr>
            <w:r/>
            <w:r>
              <w:rPr>
                <w:rFonts w:ascii="Aptos" w:hAnsi="Aptos"/>
                <w:b w:val="0"/>
                <w:sz w:val="18"/>
              </w:rPr>
              <w:t>Retreats and travel</w:t>
            </w:r>
          </w:p>
        </w:tc>
        <w:tc>
          <w:tcPr>
            <w:tcW w:type="dxa" w:w="3312"/>
            <w:vAlign w:val="center"/>
          </w:tcPr>
          <w:p>
            <w:pPr>
              <w:spacing w:after="20"/>
            </w:pPr>
            <w:r/>
            <w:r>
              <w:rPr>
                <w:rFonts w:ascii="Aptos" w:hAnsi="Aptos"/>
                <w:b w:val="0"/>
                <w:sz w:val="18"/>
              </w:rPr>
              <w:t>Clearly itemised booking or organising fee, where lawful</w:t>
            </w:r>
          </w:p>
        </w:tc>
        <w:tc>
          <w:tcPr>
            <w:tcW w:type="dxa" w:w="3312"/>
            <w:vAlign w:val="center"/>
          </w:tcPr>
          <w:p>
            <w:pPr>
              <w:spacing w:after="20"/>
            </w:pPr>
            <w:r/>
            <w:r>
              <w:rPr>
                <w:rFonts w:ascii="Aptos" w:hAnsi="Aptos"/>
                <w:b w:val="0"/>
                <w:sz w:val="18"/>
              </w:rPr>
              <w:t>Later stage with qualified partners</w:t>
            </w:r>
          </w:p>
        </w:tc>
      </w:tr>
    </w:tbl>
    <w:p/>
    <w:p>
      <w:pPr>
        <w:pStyle w:val="Heading2"/>
      </w:pPr>
      <w:r>
        <w:t>Revenue principles</w:t>
      </w:r>
    </w:p>
    <w:p>
      <w:pPr>
        <w:pStyle w:val="ListBullet"/>
      </w:pPr>
      <w:r>
        <w:t>Free membership can reduce barriers to joining and help build network density.</w:t>
      </w:r>
    </w:p>
    <w:p>
      <w:pPr>
        <w:pStyle w:val="ListBullet"/>
      </w:pPr>
      <w:r>
        <w:t>Paid plans should provide clear additional value and transparent renewal terms.</w:t>
      </w:r>
    </w:p>
    <w:p>
      <w:pPr>
        <w:pStyle w:val="ListBullet"/>
      </w:pPr>
      <w:r>
        <w:t>Do not guarantee romantic matches, business contracts, investment outcomes, or profits.</w:t>
      </w:r>
    </w:p>
    <w:p>
      <w:pPr>
        <w:pStyle w:val="ListBullet"/>
      </w:pPr>
      <w:r>
        <w:t>Label sponsored content and paid business placement clearly.</w:t>
      </w:r>
    </w:p>
    <w:p>
      <w:pPr>
        <w:pStyle w:val="ListBullet"/>
      </w:pPr>
      <w:r>
        <w:t>Do not make donations a condition of membership or access to romantic connections.</w:t>
      </w:r>
    </w:p>
    <w:p>
      <w:pPr>
        <w:pStyle w:val="ListBullet"/>
      </w:pPr>
      <w:r>
        <w:t>If charitable giving is introduced, use transparent controls and separate accounting from operating revenue.</w:t>
      </w:r>
    </w:p>
    <w:p>
      <w:pPr>
        <w:pStyle w:val="Heading2"/>
      </w:pPr>
      <w:r>
        <w:t>Founder income</w:t>
      </w:r>
    </w:p>
    <w:p>
      <w:r>
        <w:t>The founder can be compensated through a reasonable salary for work performed and/or lawful owner distributions from available profits, depending on the entity structure and local law. Gross sales are not personal income. The business must first cover payment fees, hosting, development, support, moderation, marketing, taxes, refunds, and other obligations. Keep business funds separate from personal funds and maintain accurate accounts.</w:t>
      </w:r>
    </w:p>
    <w:p>
      <w:pPr>
        <w:pStyle w:val="Heading1"/>
      </w:pPr>
      <w:r>
        <w:t>7. Illustrative Financial Model</w:t>
      </w:r>
    </w:p>
    <w:p>
      <w:r>
        <w:t>The following example demonstrates how subscription revenue could work. It is not a forecast, and the assumed prices and member counts must be validated.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4B2F59"/>
          </w:tcPr>
          <w:p>
            <w:pPr>
              <w:spacing w:after="20"/>
            </w:pPr>
            <w:r/>
            <w:r>
              <w:rPr>
                <w:rFonts w:ascii="Aptos" w:hAnsi="Aptos"/>
                <w:b/>
                <w:color w:val="FFFFFF"/>
                <w:sz w:val="18"/>
              </w:rPr>
              <w:t>Plan</w:t>
            </w:r>
          </w:p>
        </w:tc>
        <w:tc>
          <w:tcPr>
            <w:tcW w:type="dxa" w:w="2484"/>
            <w:vAlign w:val="center"/>
            <w:shd w:fill="4B2F59"/>
          </w:tcPr>
          <w:p>
            <w:pPr>
              <w:spacing w:after="20"/>
            </w:pPr>
            <w:r/>
            <w:r>
              <w:rPr>
                <w:rFonts w:ascii="Aptos" w:hAnsi="Aptos"/>
                <w:b/>
                <w:color w:val="FFFFFF"/>
                <w:sz w:val="18"/>
              </w:rPr>
              <w:t>Paying members (example)</w:t>
            </w:r>
          </w:p>
        </w:tc>
        <w:tc>
          <w:tcPr>
            <w:tcW w:type="dxa" w:w="2484"/>
            <w:vAlign w:val="center"/>
            <w:shd w:fill="4B2F59"/>
          </w:tcPr>
          <w:p>
            <w:pPr>
              <w:spacing w:after="20"/>
            </w:pPr>
            <w:r/>
            <w:r>
              <w:rPr>
                <w:rFonts w:ascii="Aptos" w:hAnsi="Aptos"/>
                <w:b/>
                <w:color w:val="FFFFFF"/>
                <w:sz w:val="18"/>
              </w:rPr>
              <w:t>Monthly price</w:t>
            </w:r>
          </w:p>
        </w:tc>
        <w:tc>
          <w:tcPr>
            <w:tcW w:type="dxa" w:w="2484"/>
            <w:vAlign w:val="center"/>
            <w:shd w:fill="4B2F59"/>
          </w:tcPr>
          <w:p>
            <w:pPr>
              <w:spacing w:after="20"/>
            </w:pPr>
            <w:r/>
            <w:r>
              <w:rPr>
                <w:rFonts w:ascii="Aptos" w:hAnsi="Aptos"/>
                <w:b/>
                <w:color w:val="FFFFFF"/>
                <w:sz w:val="18"/>
              </w:rPr>
              <w:t>Gross monthly revenue</w:t>
            </w:r>
          </w:p>
        </w:tc>
      </w:tr>
      <w:tr>
        <w:tc>
          <w:tcPr>
            <w:tcW w:type="dxa" w:w="2484"/>
            <w:vAlign w:val="center"/>
          </w:tcPr>
          <w:p>
            <w:pPr>
              <w:spacing w:after="20"/>
            </w:pPr>
            <w:r/>
            <w:r>
              <w:rPr>
                <w:rFonts w:ascii="Aptos" w:hAnsi="Aptos"/>
                <w:b w:val="0"/>
                <w:sz w:val="18"/>
              </w:rPr>
              <w:t>Standard</w:t>
            </w:r>
          </w:p>
        </w:tc>
        <w:tc>
          <w:tcPr>
            <w:tcW w:type="dxa" w:w="2484"/>
            <w:vAlign w:val="center"/>
          </w:tcPr>
          <w:p>
            <w:pPr>
              <w:spacing w:after="20"/>
            </w:pPr>
            <w:r/>
            <w:r>
              <w:rPr>
                <w:rFonts w:ascii="Aptos" w:hAnsi="Aptos"/>
                <w:b w:val="0"/>
                <w:sz w:val="18"/>
              </w:rPr>
              <w:t>200</w:t>
            </w:r>
          </w:p>
        </w:tc>
        <w:tc>
          <w:tcPr>
            <w:tcW w:type="dxa" w:w="2484"/>
            <w:vAlign w:val="center"/>
          </w:tcPr>
          <w:p>
            <w:pPr>
              <w:spacing w:after="20"/>
            </w:pPr>
            <w:r/>
            <w:r>
              <w:rPr>
                <w:rFonts w:ascii="Aptos" w:hAnsi="Aptos"/>
                <w:b w:val="0"/>
                <w:sz w:val="18"/>
              </w:rPr>
              <w:t>$10</w:t>
            </w:r>
          </w:p>
        </w:tc>
        <w:tc>
          <w:tcPr>
            <w:tcW w:type="dxa" w:w="2484"/>
            <w:vAlign w:val="center"/>
          </w:tcPr>
          <w:p>
            <w:pPr>
              <w:spacing w:after="20"/>
            </w:pPr>
            <w:r/>
            <w:r>
              <w:rPr>
                <w:rFonts w:ascii="Aptos" w:hAnsi="Aptos"/>
                <w:b w:val="0"/>
                <w:sz w:val="18"/>
              </w:rPr>
              <w:t>$2,000</w:t>
            </w:r>
          </w:p>
        </w:tc>
      </w:tr>
      <w:tr>
        <w:tc>
          <w:tcPr>
            <w:tcW w:type="dxa" w:w="2484"/>
            <w:vAlign w:val="center"/>
            <w:shd w:fill="F3EEF5"/>
          </w:tcPr>
          <w:p>
            <w:pPr>
              <w:spacing w:after="20"/>
            </w:pPr>
            <w:r/>
            <w:r>
              <w:rPr>
                <w:rFonts w:ascii="Aptos" w:hAnsi="Aptos"/>
                <w:b w:val="0"/>
                <w:sz w:val="18"/>
              </w:rPr>
              <w:t>Premium</w:t>
            </w:r>
          </w:p>
        </w:tc>
        <w:tc>
          <w:tcPr>
            <w:tcW w:type="dxa" w:w="2484"/>
            <w:vAlign w:val="center"/>
            <w:shd w:fill="F3EEF5"/>
          </w:tcPr>
          <w:p>
            <w:pPr>
              <w:spacing w:after="20"/>
            </w:pPr>
            <w:r/>
            <w:r>
              <w:rPr>
                <w:rFonts w:ascii="Aptos" w:hAnsi="Aptos"/>
                <w:b w:val="0"/>
                <w:sz w:val="18"/>
              </w:rPr>
              <w:t>75</w:t>
            </w:r>
          </w:p>
        </w:tc>
        <w:tc>
          <w:tcPr>
            <w:tcW w:type="dxa" w:w="2484"/>
            <w:vAlign w:val="center"/>
            <w:shd w:fill="F3EEF5"/>
          </w:tcPr>
          <w:p>
            <w:pPr>
              <w:spacing w:after="20"/>
            </w:pPr>
            <w:r/>
            <w:r>
              <w:rPr>
                <w:rFonts w:ascii="Aptos" w:hAnsi="Aptos"/>
                <w:b w:val="0"/>
                <w:sz w:val="18"/>
              </w:rPr>
              <w:t>$20</w:t>
            </w:r>
          </w:p>
        </w:tc>
        <w:tc>
          <w:tcPr>
            <w:tcW w:type="dxa" w:w="2484"/>
            <w:vAlign w:val="center"/>
            <w:shd w:fill="F3EEF5"/>
          </w:tcPr>
          <w:p>
            <w:pPr>
              <w:spacing w:after="20"/>
            </w:pPr>
            <w:r/>
            <w:r>
              <w:rPr>
                <w:rFonts w:ascii="Aptos" w:hAnsi="Aptos"/>
                <w:b w:val="0"/>
                <w:sz w:val="18"/>
              </w:rPr>
              <w:t>$1,500</w:t>
            </w:r>
          </w:p>
        </w:tc>
      </w:tr>
      <w:tr>
        <w:tc>
          <w:tcPr>
            <w:tcW w:type="dxa" w:w="2484"/>
            <w:vAlign w:val="center"/>
          </w:tcPr>
          <w:p>
            <w:pPr>
              <w:spacing w:after="20"/>
            </w:pPr>
            <w:r/>
            <w:r>
              <w:rPr>
                <w:rFonts w:ascii="Aptos" w:hAnsi="Aptos"/>
                <w:b w:val="0"/>
                <w:sz w:val="18"/>
              </w:rPr>
              <w:t>Business</w:t>
            </w:r>
          </w:p>
        </w:tc>
        <w:tc>
          <w:tcPr>
            <w:tcW w:type="dxa" w:w="2484"/>
            <w:vAlign w:val="center"/>
          </w:tcPr>
          <w:p>
            <w:pPr>
              <w:spacing w:after="20"/>
            </w:pPr>
            <w:r/>
            <w:r>
              <w:rPr>
                <w:rFonts w:ascii="Aptos" w:hAnsi="Aptos"/>
                <w:b w:val="0"/>
                <w:sz w:val="18"/>
              </w:rPr>
              <w:t>50</w:t>
            </w:r>
          </w:p>
        </w:tc>
        <w:tc>
          <w:tcPr>
            <w:tcW w:type="dxa" w:w="2484"/>
            <w:vAlign w:val="center"/>
          </w:tcPr>
          <w:p>
            <w:pPr>
              <w:spacing w:after="20"/>
            </w:pPr>
            <w:r/>
            <w:r>
              <w:rPr>
                <w:rFonts w:ascii="Aptos" w:hAnsi="Aptos"/>
                <w:b w:val="0"/>
                <w:sz w:val="18"/>
              </w:rPr>
              <w:t>$30</w:t>
            </w:r>
          </w:p>
        </w:tc>
        <w:tc>
          <w:tcPr>
            <w:tcW w:type="dxa" w:w="2484"/>
            <w:vAlign w:val="center"/>
          </w:tcPr>
          <w:p>
            <w:pPr>
              <w:spacing w:after="20"/>
            </w:pPr>
            <w:r/>
            <w:r>
              <w:rPr>
                <w:rFonts w:ascii="Aptos" w:hAnsi="Aptos"/>
                <w:b w:val="0"/>
                <w:sz w:val="18"/>
              </w:rPr>
              <w:t>$1,500</w:t>
            </w:r>
          </w:p>
        </w:tc>
      </w:tr>
      <w:tr>
        <w:tc>
          <w:tcPr>
            <w:tcW w:type="dxa" w:w="2484"/>
            <w:vAlign w:val="center"/>
            <w:shd w:fill="F3EEF5"/>
          </w:tcPr>
          <w:p>
            <w:pPr>
              <w:spacing w:after="20"/>
            </w:pPr>
            <w:r/>
            <w:r>
              <w:rPr>
                <w:rFonts w:ascii="Aptos" w:hAnsi="Aptos"/>
                <w:b w:val="0"/>
                <w:sz w:val="18"/>
              </w:rPr>
              <w:t>Total</w:t>
            </w:r>
          </w:p>
        </w:tc>
        <w:tc>
          <w:tcPr>
            <w:tcW w:type="dxa" w:w="2484"/>
            <w:vAlign w:val="center"/>
            <w:shd w:fill="F3EEF5"/>
          </w:tcPr>
          <w:p>
            <w:pPr>
              <w:spacing w:after="20"/>
            </w:pPr>
            <w:r/>
            <w:r>
              <w:rPr>
                <w:rFonts w:ascii="Aptos" w:hAnsi="Aptos"/>
                <w:b w:val="0"/>
                <w:sz w:val="18"/>
              </w:rPr>
              <w:t>325</w:t>
            </w:r>
          </w:p>
        </w:tc>
        <w:tc>
          <w:tcPr>
            <w:tcW w:type="dxa" w:w="2484"/>
            <w:vAlign w:val="center"/>
            <w:shd w:fill="F3EEF5"/>
          </w:tcPr>
          <w:p>
            <w:pPr>
              <w:spacing w:after="20"/>
            </w:pPr>
            <w:r/>
            <w:r>
              <w:rPr>
                <w:rFonts w:ascii="Aptos" w:hAnsi="Aptos"/>
                <w:b w:val="0"/>
                <w:sz w:val="18"/>
              </w:rPr>
              <w:t>—</w:t>
            </w:r>
          </w:p>
        </w:tc>
        <w:tc>
          <w:tcPr>
            <w:tcW w:type="dxa" w:w="2484"/>
            <w:vAlign w:val="center"/>
            <w:shd w:fill="F3EEF5"/>
          </w:tcPr>
          <w:p>
            <w:pPr>
              <w:spacing w:after="20"/>
            </w:pPr>
            <w:r/>
            <w:r>
              <w:rPr>
                <w:rFonts w:ascii="Aptos" w:hAnsi="Aptos"/>
                <w:b w:val="0"/>
                <w:sz w:val="18"/>
              </w:rPr>
              <w:t>$5,000</w:t>
            </w:r>
          </w:p>
        </w:tc>
      </w:tr>
    </w:tbl>
    <w:p/>
    <w:p>
      <w:r>
        <w:t>Illustrative annualised gross revenue at a constant level would be $60,000 before churn, failed payments, refunds, discounts, payment fees, taxes, and operating costs. This is arithmetic only; it does not imply the platform will achieve these member numbers.</w:t>
      </w:r>
    </w:p>
    <w:p>
      <w:pPr>
        <w:pStyle w:val="Heading2"/>
      </w:pPr>
      <w:r>
        <w:t>Simple financial discipline</w:t>
      </w:r>
    </w:p>
    <w:p>
      <w:pPr>
        <w:pStyle w:val="ListBullet"/>
      </w:pPr>
      <w:r>
        <w:t>Track monthly recurring revenue, new paying members, cancellations, failed payments, refunds, and average revenue per paying member.</w:t>
      </w:r>
    </w:p>
    <w:p>
      <w:pPr>
        <w:pStyle w:val="ListBullet"/>
      </w:pPr>
      <w:r>
        <w:t>Track acquisition cost: marketing spend divided by new paying members attributable to that spend.</w:t>
      </w:r>
    </w:p>
    <w:p>
      <w:pPr>
        <w:pStyle w:val="ListBullet"/>
      </w:pPr>
      <w:r>
        <w:t>Track contribution margin after payment-processing fees and variable service costs.</w:t>
      </w:r>
    </w:p>
    <w:p>
      <w:pPr>
        <w:pStyle w:val="ListBullet"/>
      </w:pPr>
      <w:r>
        <w:t>Prepare a monthly cash-flow forecast and reserve for taxes, refunds, security, and support.</w:t>
      </w:r>
    </w:p>
    <w:p>
      <w:pPr>
        <w:pStyle w:val="ListBullet"/>
      </w:pPr>
      <w:r>
        <w:t>Do not set final pricing until target-member interviews and provider fees have been reviewed.</w:t>
      </w:r>
    </w:p>
    <w:p>
      <w:pPr>
        <w:pStyle w:val="Heading1"/>
      </w:pPr>
      <w:r>
        <w:t>8. Global Payments and Currency Strategy</w:t>
      </w:r>
    </w:p>
    <w:p>
      <w:r>
        <w:t>Use one website and a payment provider that supports the business’s country of registration, recurring subscriptions, the target customers’ payment methods, and the desired settlement account. The site may display prices in selected local currencies, but display currency is not the same as settlement currency.</w:t>
      </w:r>
    </w:p>
    <w:p>
      <w:pPr>
        <w:pStyle w:val="Heading2"/>
      </w:pPr>
      <w:r>
        <w:t>Recommended staged approach</w:t>
      </w:r>
    </w:p>
    <w:p>
      <w:pPr>
        <w:pStyle w:val="ListNumber"/>
      </w:pPr>
      <w:r>
        <w:t>Choose the legal country and entity through which the platform will operate; confirm founder eligibility and tax obligations.</w:t>
      </w:r>
    </w:p>
    <w:p>
      <w:pPr>
        <w:pStyle w:val="ListNumber"/>
      </w:pPr>
      <w:r>
        <w:t>Compare payment providers available to that entity, including supported countries, recurring billing, cards and local payment methods, settlement currencies, payout schedules, dispute handling, refunds, and total fees.</w:t>
      </w:r>
    </w:p>
    <w:p>
      <w:pPr>
        <w:pStyle w:val="ListNumber"/>
      </w:pPr>
      <w:r>
        <w:t>Start with a small number of currencies and markets. Add more only after confirming demand and provider support.</w:t>
      </w:r>
    </w:p>
    <w:p>
      <w:pPr>
        <w:pStyle w:val="ListNumber"/>
      </w:pPr>
      <w:r>
        <w:t>Set a base price and decide whether local prices will be automatically converted or fixed per market.</w:t>
      </w:r>
    </w:p>
    <w:p>
      <w:pPr>
        <w:pStyle w:val="ListNumber"/>
      </w:pPr>
      <w:r>
        <w:t>Show the customer the amount charged, currency, renewal frequency, cancellation process, and applicable taxes before payment.</w:t>
      </w:r>
    </w:p>
    <w:p>
      <w:pPr>
        <w:pStyle w:val="ListNumber"/>
      </w:pPr>
      <w:r>
        <w:t>Use hosted checkout or tokenised payment components; do not store raw card details on the website.</w:t>
      </w:r>
    </w:p>
    <w:p>
      <w:pPr>
        <w:pStyle w:val="ListNumber"/>
      </w:pPr>
      <w:r>
        <w:t>Reconcile provider reports, refunds, fees, currency conversions, and bank settlements monthly.</w:t>
      </w:r>
    </w:p>
    <w:p>
      <w:r>
        <w:t>Providers to evaluate include Stripe and Paystack, but their country availability, features, account eligibility, recurring-billing support, settlement currencies, and fees must be checked directly before selection. Do not assume a provider will support every country or every currency. Use official provider documentation and obtain written clarification for the intended business model.</w:t>
      </w:r>
    </w:p>
    <w:p>
      <w:pPr>
        <w:pStyle w:val="Heading2"/>
      </w:pPr>
      <w:r>
        <w:t>Currency policy</w:t>
      </w:r>
    </w:p>
    <w:p>
      <w:r>
        <w:t>A practical starting policy is to choose a base reporting currency for company accounts, offer a limited number of checkout currencies supported by the provider, and disclose conversion and tax treatment. If the customer is charged in a currency different from the settlement currency, conversion fees and exchange-rate movements may affect the amount received.</w:t>
      </w:r>
    </w:p>
    <w:p>
      <w:pPr>
        <w:pStyle w:val="Heading1"/>
      </w:pPr>
      <w:r>
        <w:t>9. Marketing and Member Acquisition</w:t>
      </w:r>
    </w:p>
    <w:p>
      <w:pPr>
        <w:pStyle w:val="Heading2"/>
      </w:pPr>
      <w:r>
        <w:t>Brand message</w:t>
      </w:r>
    </w:p>
    <w:p>
      <w:r>
        <w:t>“Your past is a chapter. Your future is still a story.” Supporting message: “Find Love. Build Connections. Grow Together.”</w:t>
      </w:r>
    </w:p>
    <w:p>
      <w:pPr>
        <w:pStyle w:val="Heading2"/>
      </w:pPr>
      <w:r>
        <w:t>Initial marketing actions</w:t>
      </w:r>
    </w:p>
    <w:p>
      <w:pPr>
        <w:pStyle w:val="ListBullet"/>
      </w:pPr>
      <w:r>
        <w:t>Create a landing page explaining the community, age range, values, and planned features.</w:t>
      </w:r>
    </w:p>
    <w:p>
      <w:pPr>
        <w:pStyle w:val="ListBullet"/>
      </w:pPr>
      <w:r>
        <w:t>Invite prospective members to join a waitlist and complete a short needs survey.</w:t>
      </w:r>
    </w:p>
    <w:p>
      <w:pPr>
        <w:pStyle w:val="ListBullet"/>
      </w:pPr>
      <w:r>
        <w:t>Conduct interviews with adults aged 40–80 and business owners across selected countries.</w:t>
      </w:r>
    </w:p>
    <w:p>
      <w:pPr>
        <w:pStyle w:val="ListBullet"/>
      </w:pPr>
      <w:r>
        <w:t>Publish helpful content about starting a new chapter, healthy connections, and practical business networking.</w:t>
      </w:r>
    </w:p>
    <w:p>
      <w:pPr>
        <w:pStyle w:val="ListBullet"/>
      </w:pPr>
      <w:r>
        <w:t>Build partnerships with relevant community organisations, professional networks, and event organisers where appropriate.</w:t>
      </w:r>
    </w:p>
    <w:p>
      <w:pPr>
        <w:pStyle w:val="ListBullet"/>
      </w:pPr>
      <w:r>
        <w:t>Use transparent, respectful advertising; avoid exploiting loneliness, grief, or fears about ageing.</w:t>
      </w:r>
    </w:p>
    <w:p>
      <w:pPr>
        <w:pStyle w:val="ListBullet"/>
      </w:pPr>
      <w:r>
        <w:t>Launch with a small founding-member cohort and gather feedback before scaling paid advertising.</w:t>
      </w:r>
    </w:p>
    <w:p>
      <w:pPr>
        <w:pStyle w:val="Heading2"/>
      </w:pPr>
      <w:r>
        <w:t>Pilot targets (planning goals, not forecasts)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B2F59"/>
          </w:tcPr>
          <w:p>
            <w:pPr>
              <w:spacing w:after="20"/>
            </w:pPr>
            <w:r/>
            <w:r>
              <w:rPr>
                <w:rFonts w:ascii="Aptos" w:hAnsi="Aptos"/>
                <w:b/>
                <w:color w:val="FFFFFF"/>
                <w:sz w:val="18"/>
              </w:rPr>
              <w:t>Measure</w:t>
            </w:r>
          </w:p>
        </w:tc>
        <w:tc>
          <w:tcPr>
            <w:tcW w:type="dxa" w:w="4968"/>
            <w:vAlign w:val="center"/>
            <w:shd w:fill="4B2F59"/>
          </w:tcPr>
          <w:p>
            <w:pPr>
              <w:spacing w:after="20"/>
            </w:pPr>
            <w:r/>
            <w:r>
              <w:rPr>
                <w:rFonts w:ascii="Aptos" w:hAnsi="Aptos"/>
                <w:b/>
                <w:color w:val="FFFFFF"/>
                <w:sz w:val="18"/>
              </w:rPr>
              <w:t>Initial pilot goal</w:t>
            </w:r>
          </w:p>
        </w:tc>
      </w:tr>
      <w:tr>
        <w:tc>
          <w:tcPr>
            <w:tcW w:type="dxa" w:w="4968"/>
            <w:vAlign w:val="center"/>
          </w:tcPr>
          <w:p>
            <w:pPr>
              <w:spacing w:after="20"/>
            </w:pPr>
            <w:r/>
            <w:r>
              <w:rPr>
                <w:rFonts w:ascii="Aptos" w:hAnsi="Aptos"/>
                <w:b w:val="0"/>
                <w:sz w:val="18"/>
              </w:rPr>
              <w:t>Interviewed prospective members</w:t>
            </w:r>
          </w:p>
        </w:tc>
        <w:tc>
          <w:tcPr>
            <w:tcW w:type="dxa" w:w="4968"/>
            <w:vAlign w:val="center"/>
          </w:tcPr>
          <w:p>
            <w:pPr>
              <w:spacing w:after="20"/>
            </w:pPr>
            <w:r/>
            <w:r>
              <w:rPr>
                <w:rFonts w:ascii="Aptos" w:hAnsi="Aptos"/>
                <w:b w:val="0"/>
                <w:sz w:val="18"/>
              </w:rPr>
              <w:t>30–50 across the intended audience</w:t>
            </w:r>
          </w:p>
        </w:tc>
      </w:tr>
      <w:tr>
        <w:tc>
          <w:tcPr>
            <w:tcW w:type="dxa" w:w="4968"/>
            <w:vAlign w:val="center"/>
            <w:shd w:fill="F3EEF5"/>
          </w:tcPr>
          <w:p>
            <w:pPr>
              <w:spacing w:after="20"/>
            </w:pPr>
            <w:r/>
            <w:r>
              <w:rPr>
                <w:rFonts w:ascii="Aptos" w:hAnsi="Aptos"/>
                <w:b w:val="0"/>
                <w:sz w:val="18"/>
              </w:rPr>
              <w:t>Waitlist sign-ups</w:t>
            </w:r>
          </w:p>
        </w:tc>
        <w:tc>
          <w:tcPr>
            <w:tcW w:type="dxa" w:w="4968"/>
            <w:vAlign w:val="center"/>
            <w:shd w:fill="F3EEF5"/>
          </w:tcPr>
          <w:p>
            <w:pPr>
              <w:spacing w:after="20"/>
            </w:pPr>
            <w:r/>
            <w:r>
              <w:rPr>
                <w:rFonts w:ascii="Aptos" w:hAnsi="Aptos"/>
                <w:b w:val="0"/>
                <w:sz w:val="18"/>
              </w:rPr>
              <w:t>100–200 interested people</w:t>
            </w:r>
          </w:p>
        </w:tc>
      </w:tr>
      <w:tr>
        <w:tc>
          <w:tcPr>
            <w:tcW w:type="dxa" w:w="4968"/>
            <w:vAlign w:val="center"/>
          </w:tcPr>
          <w:p>
            <w:pPr>
              <w:spacing w:after="20"/>
            </w:pPr>
            <w:r/>
            <w:r>
              <w:rPr>
                <w:rFonts w:ascii="Aptos" w:hAnsi="Aptos"/>
                <w:b w:val="0"/>
                <w:sz w:val="18"/>
              </w:rPr>
              <w:t>Founding-member pilot</w:t>
            </w:r>
          </w:p>
        </w:tc>
        <w:tc>
          <w:tcPr>
            <w:tcW w:type="dxa" w:w="4968"/>
            <w:vAlign w:val="center"/>
          </w:tcPr>
          <w:p>
            <w:pPr>
              <w:spacing w:after="20"/>
            </w:pPr>
            <w:r/>
            <w:r>
              <w:rPr>
                <w:rFonts w:ascii="Aptos" w:hAnsi="Aptos"/>
                <w:b w:val="0"/>
                <w:sz w:val="18"/>
              </w:rPr>
              <w:t>30–50 verified or appropriately screened adults</w:t>
            </w:r>
          </w:p>
        </w:tc>
      </w:tr>
      <w:tr>
        <w:tc>
          <w:tcPr>
            <w:tcW w:type="dxa" w:w="4968"/>
            <w:vAlign w:val="center"/>
            <w:shd w:fill="F3EEF5"/>
          </w:tcPr>
          <w:p>
            <w:pPr>
              <w:spacing w:after="20"/>
            </w:pPr>
            <w:r/>
            <w:r>
              <w:rPr>
                <w:rFonts w:ascii="Aptos" w:hAnsi="Aptos"/>
                <w:b w:val="0"/>
                <w:sz w:val="18"/>
              </w:rPr>
              <w:t>Business-owner interviews</w:t>
            </w:r>
          </w:p>
        </w:tc>
        <w:tc>
          <w:tcPr>
            <w:tcW w:type="dxa" w:w="4968"/>
            <w:vAlign w:val="center"/>
            <w:shd w:fill="F3EEF5"/>
          </w:tcPr>
          <w:p>
            <w:pPr>
              <w:spacing w:after="20"/>
            </w:pPr>
            <w:r/>
            <w:r>
              <w:rPr>
                <w:rFonts w:ascii="Aptos" w:hAnsi="Aptos"/>
                <w:b w:val="0"/>
                <w:sz w:val="18"/>
              </w:rPr>
              <w:t>At least 15–20</w:t>
            </w:r>
          </w:p>
        </w:tc>
      </w:tr>
      <w:tr>
        <w:tc>
          <w:tcPr>
            <w:tcW w:type="dxa" w:w="4968"/>
            <w:vAlign w:val="center"/>
          </w:tcPr>
          <w:p>
            <w:pPr>
              <w:spacing w:after="20"/>
            </w:pPr>
            <w:r/>
            <w:r>
              <w:rPr>
                <w:rFonts w:ascii="Aptos" w:hAnsi="Aptos"/>
                <w:b w:val="0"/>
                <w:sz w:val="18"/>
              </w:rPr>
              <w:t>Member feedback</w:t>
            </w:r>
          </w:p>
        </w:tc>
        <w:tc>
          <w:tcPr>
            <w:tcW w:type="dxa" w:w="4968"/>
            <w:vAlign w:val="center"/>
          </w:tcPr>
          <w:p>
            <w:pPr>
              <w:spacing w:after="20"/>
            </w:pPr>
            <w:r/>
            <w:r>
              <w:rPr>
                <w:rFonts w:ascii="Aptos" w:hAnsi="Aptos"/>
                <w:b w:val="0"/>
                <w:sz w:val="18"/>
              </w:rPr>
              <w:t>Collect after onboarding and first activities</w:t>
            </w:r>
          </w:p>
        </w:tc>
      </w:tr>
      <w:tr>
        <w:tc>
          <w:tcPr>
            <w:tcW w:type="dxa" w:w="4968"/>
            <w:vAlign w:val="center"/>
            <w:shd w:fill="F3EEF5"/>
          </w:tcPr>
          <w:p>
            <w:pPr>
              <w:spacing w:after="20"/>
            </w:pPr>
            <w:r/>
            <w:r>
              <w:rPr>
                <w:rFonts w:ascii="Aptos" w:hAnsi="Aptos"/>
                <w:b w:val="0"/>
                <w:sz w:val="18"/>
              </w:rPr>
              <w:t>Safety readiness</w:t>
            </w:r>
          </w:p>
        </w:tc>
        <w:tc>
          <w:tcPr>
            <w:tcW w:type="dxa" w:w="4968"/>
            <w:vAlign w:val="center"/>
            <w:shd w:fill="F3EEF5"/>
          </w:tcPr>
          <w:p>
            <w:pPr>
              <w:spacing w:after="20"/>
            </w:pPr>
            <w:r/>
            <w:r>
              <w:rPr>
                <w:rFonts w:ascii="Aptos" w:hAnsi="Aptos"/>
                <w:b w:val="0"/>
                <w:sz w:val="18"/>
              </w:rPr>
              <w:t>Policies, reporting, blocking, and moderation tested before public launch</w:t>
            </w:r>
          </w:p>
        </w:tc>
      </w:tr>
    </w:tbl>
    <w:p/>
    <w:p>
      <w:pPr>
        <w:pStyle w:val="Heading1"/>
      </w:pPr>
      <w:r>
        <w:t>10. Operations, Trust, Safety and Compliance</w:t>
      </w:r>
    </w:p>
    <w:p>
      <w:r>
        <w:t>Trust is a core product requirement, especially because the community will serve adults who may have experienced bereavement, divorce, or other difficult transitions.</w:t>
      </w:r>
    </w:p>
    <w:p>
      <w:pPr>
        <w:pStyle w:val="ListBullet"/>
      </w:pPr>
      <w:r>
        <w:t>Set clear eligibility rules and use proportionate age/identity verification.</w:t>
      </w:r>
    </w:p>
    <w:p>
      <w:pPr>
        <w:pStyle w:val="ListBullet"/>
      </w:pPr>
      <w:r>
        <w:t>Provide block, report, moderation, and complaint-handling tools.</w:t>
      </w:r>
    </w:p>
    <w:p>
      <w:pPr>
        <w:pStyle w:val="ListBullet"/>
      </w:pPr>
      <w:r>
        <w:t>Publish community standards against impersonation, harassment, scams, coercion, and misleading business offers.</w:t>
      </w:r>
    </w:p>
    <w:p>
      <w:pPr>
        <w:pStyle w:val="ListBullet"/>
      </w:pPr>
      <w:r>
        <w:t>Encourage safe first meetings in public places and caution members against sending money to people they have not independently verified.</w:t>
      </w:r>
    </w:p>
    <w:p>
      <w:pPr>
        <w:pStyle w:val="ListBullet"/>
      </w:pPr>
      <w:r>
        <w:t>Minimise data collection, explain data use, protect access, and define retention and deletion procedures.</w:t>
      </w:r>
    </w:p>
    <w:p>
      <w:pPr>
        <w:pStyle w:val="ListBullet"/>
      </w:pPr>
      <w:r>
        <w:t>Separate romantic profiles, business profiles, payment records, and sensitive support requests with appropriate access controls.</w:t>
      </w:r>
    </w:p>
    <w:p>
      <w:pPr>
        <w:pStyle w:val="ListBullet"/>
      </w:pPr>
      <w:r>
        <w:t>Obtain legal advice on privacy/data protection, consumer protection, subscription renewals, electronic payments, tax, online dating rules where applicable, advertising, and international operation.</w:t>
      </w:r>
    </w:p>
    <w:p>
      <w:pPr>
        <w:pStyle w:val="ListBullet"/>
      </w:pPr>
      <w:r>
        <w:t>For retreats and travel, clarify supplier responsibility, insurance, cancellation terms, accessibility, emergency contacts, and applicable licensing.</w:t>
      </w:r>
    </w:p>
    <w:p>
      <w:pPr>
        <w:pStyle w:val="ListBullet"/>
      </w:pPr>
      <w:r>
        <w:t>Do not claim that romantic or sexual activity prevents or cures illness; direct medical concerns to qualified health professionals.</w:t>
      </w:r>
    </w:p>
    <w:p>
      <w:r>
        <w:t>Because the platform is intended to be global, it will not be possible to meet every country's requirements with one generic policy. Obtain jurisdiction-specific advice for priority markets before targeted expansion.</w:t>
      </w:r>
    </w:p>
    <w:p>
      <w:pPr>
        <w:pStyle w:val="Heading1"/>
      </w:pPr>
      <w:r>
        <w:t>11. Technology and Website Requirements</w:t>
      </w:r>
    </w:p>
    <w:p>
      <w:pPr>
        <w:pStyle w:val="Heading2"/>
      </w:pPr>
      <w:r>
        <w:t>Minimum viable product (MVP)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B2F59"/>
          </w:tcPr>
          <w:p>
            <w:pPr>
              <w:spacing w:after="20"/>
            </w:pPr>
            <w:r/>
            <w:r>
              <w:rPr>
                <w:rFonts w:ascii="Aptos" w:hAnsi="Aptos"/>
                <w:b/>
                <w:color w:val="FFFFFF"/>
                <w:sz w:val="18"/>
              </w:rPr>
              <w:t>Component</w:t>
            </w:r>
          </w:p>
        </w:tc>
        <w:tc>
          <w:tcPr>
            <w:tcW w:type="dxa" w:w="4968"/>
            <w:vAlign w:val="center"/>
            <w:shd w:fill="4B2F59"/>
          </w:tcPr>
          <w:p>
            <w:pPr>
              <w:spacing w:after="20"/>
            </w:pPr>
            <w:r/>
            <w:r>
              <w:rPr>
                <w:rFonts w:ascii="Aptos" w:hAnsi="Aptos"/>
                <w:b/>
                <w:color w:val="FFFFFF"/>
                <w:sz w:val="18"/>
              </w:rPr>
              <w:t>Requirements</w:t>
            </w:r>
          </w:p>
        </w:tc>
      </w:tr>
      <w:tr>
        <w:tc>
          <w:tcPr>
            <w:tcW w:type="dxa" w:w="4968"/>
            <w:vAlign w:val="center"/>
          </w:tcPr>
          <w:p>
            <w:pPr>
              <w:spacing w:after="20"/>
            </w:pPr>
            <w:r/>
            <w:r>
              <w:rPr>
                <w:rFonts w:ascii="Aptos" w:hAnsi="Aptos"/>
                <w:b w:val="0"/>
                <w:sz w:val="18"/>
              </w:rPr>
              <w:t>Public website</w:t>
            </w:r>
          </w:p>
        </w:tc>
        <w:tc>
          <w:tcPr>
            <w:tcW w:type="dxa" w:w="4968"/>
            <w:vAlign w:val="center"/>
          </w:tcPr>
          <w:p>
            <w:pPr>
              <w:spacing w:after="20"/>
            </w:pPr>
            <w:r/>
            <w:r>
              <w:rPr>
                <w:rFonts w:ascii="Aptos" w:hAnsi="Aptos"/>
                <w:b w:val="0"/>
                <w:sz w:val="18"/>
              </w:rPr>
              <w:t>Home, About, how it works, membership, safety, contact, terms, and privacy pages</w:t>
            </w:r>
          </w:p>
        </w:tc>
      </w:tr>
      <w:tr>
        <w:tc>
          <w:tcPr>
            <w:tcW w:type="dxa" w:w="4968"/>
            <w:vAlign w:val="center"/>
            <w:shd w:fill="F3EEF5"/>
          </w:tcPr>
          <w:p>
            <w:pPr>
              <w:spacing w:after="20"/>
            </w:pPr>
            <w:r/>
            <w:r>
              <w:rPr>
                <w:rFonts w:ascii="Aptos" w:hAnsi="Aptos"/>
                <w:b w:val="0"/>
                <w:sz w:val="18"/>
              </w:rPr>
              <w:t>Accounts</w:t>
            </w:r>
          </w:p>
        </w:tc>
        <w:tc>
          <w:tcPr>
            <w:tcW w:type="dxa" w:w="4968"/>
            <w:vAlign w:val="center"/>
            <w:shd w:fill="F3EEF5"/>
          </w:tcPr>
          <w:p>
            <w:pPr>
              <w:spacing w:after="20"/>
            </w:pPr>
            <w:r/>
            <w:r>
              <w:rPr>
                <w:rFonts w:ascii="Aptos" w:hAnsi="Aptos"/>
                <w:b w:val="0"/>
                <w:sz w:val="18"/>
              </w:rPr>
              <w:t>Secure registration, login, account recovery, age eligibility, consent and preferences</w:t>
            </w:r>
          </w:p>
        </w:tc>
      </w:tr>
      <w:tr>
        <w:tc>
          <w:tcPr>
            <w:tcW w:type="dxa" w:w="4968"/>
            <w:vAlign w:val="center"/>
          </w:tcPr>
          <w:p>
            <w:pPr>
              <w:spacing w:after="20"/>
            </w:pPr>
            <w:r/>
            <w:r>
              <w:rPr>
                <w:rFonts w:ascii="Aptos" w:hAnsi="Aptos"/>
                <w:b w:val="0"/>
                <w:sz w:val="18"/>
              </w:rPr>
              <w:t>Personal profiles</w:t>
            </w:r>
          </w:p>
        </w:tc>
        <w:tc>
          <w:tcPr>
            <w:tcW w:type="dxa" w:w="4968"/>
            <w:vAlign w:val="center"/>
          </w:tcPr>
          <w:p>
            <w:pPr>
              <w:spacing w:after="20"/>
            </w:pPr>
            <w:r/>
            <w:r>
              <w:rPr>
                <w:rFonts w:ascii="Aptos" w:hAnsi="Aptos"/>
                <w:b w:val="0"/>
                <w:sz w:val="18"/>
              </w:rPr>
              <w:t>Display name, age, general location, interests, and connection goals</w:t>
            </w:r>
          </w:p>
        </w:tc>
      </w:tr>
      <w:tr>
        <w:tc>
          <w:tcPr>
            <w:tcW w:type="dxa" w:w="4968"/>
            <w:vAlign w:val="center"/>
            <w:shd w:fill="F3EEF5"/>
          </w:tcPr>
          <w:p>
            <w:pPr>
              <w:spacing w:after="20"/>
            </w:pPr>
            <w:r/>
            <w:r>
              <w:rPr>
                <w:rFonts w:ascii="Aptos" w:hAnsi="Aptos"/>
                <w:b w:val="0"/>
                <w:sz w:val="18"/>
              </w:rPr>
              <w:t>Connection features</w:t>
            </w:r>
          </w:p>
        </w:tc>
        <w:tc>
          <w:tcPr>
            <w:tcW w:type="dxa" w:w="4968"/>
            <w:vAlign w:val="center"/>
            <w:shd w:fill="F3EEF5"/>
          </w:tcPr>
          <w:p>
            <w:pPr>
              <w:spacing w:after="20"/>
            </w:pPr>
            <w:r/>
            <w:r>
              <w:rPr>
                <w:rFonts w:ascii="Aptos" w:hAnsi="Aptos"/>
                <w:b w:val="0"/>
                <w:sz w:val="18"/>
              </w:rPr>
              <w:t>Preference filters, mutual connection requests, and private messaging with safeguards</w:t>
            </w:r>
          </w:p>
        </w:tc>
      </w:tr>
      <w:tr>
        <w:tc>
          <w:tcPr>
            <w:tcW w:type="dxa" w:w="4968"/>
            <w:vAlign w:val="center"/>
          </w:tcPr>
          <w:p>
            <w:pPr>
              <w:spacing w:after="20"/>
            </w:pPr>
            <w:r/>
            <w:r>
              <w:rPr>
                <w:rFonts w:ascii="Aptos" w:hAnsi="Aptos"/>
                <w:b w:val="0"/>
                <w:sz w:val="18"/>
              </w:rPr>
              <w:t>Business profiles</w:t>
            </w:r>
          </w:p>
        </w:tc>
        <w:tc>
          <w:tcPr>
            <w:tcW w:type="dxa" w:w="4968"/>
            <w:vAlign w:val="center"/>
          </w:tcPr>
          <w:p>
            <w:pPr>
              <w:spacing w:after="20"/>
            </w:pPr>
            <w:r/>
            <w:r>
              <w:rPr>
                <w:rFonts w:ascii="Aptos" w:hAnsi="Aptos"/>
                <w:b w:val="0"/>
                <w:sz w:val="18"/>
              </w:rPr>
              <w:t>Business details, industry, offerings, service area, and networking preferences</w:t>
            </w:r>
          </w:p>
        </w:tc>
      </w:tr>
      <w:tr>
        <w:tc>
          <w:tcPr>
            <w:tcW w:type="dxa" w:w="4968"/>
            <w:vAlign w:val="center"/>
            <w:shd w:fill="F3EEF5"/>
          </w:tcPr>
          <w:p>
            <w:pPr>
              <w:spacing w:after="20"/>
            </w:pPr>
            <w:r/>
            <w:r>
              <w:rPr>
                <w:rFonts w:ascii="Aptos" w:hAnsi="Aptos"/>
                <w:b w:val="0"/>
                <w:sz w:val="18"/>
              </w:rPr>
              <w:t>Business networking</w:t>
            </w:r>
          </w:p>
        </w:tc>
        <w:tc>
          <w:tcPr>
            <w:tcW w:type="dxa" w:w="4968"/>
            <w:vAlign w:val="center"/>
            <w:shd w:fill="F3EEF5"/>
          </w:tcPr>
          <w:p>
            <w:pPr>
              <w:spacing w:after="20"/>
            </w:pPr>
            <w:r/>
            <w:r>
              <w:rPr>
                <w:rFonts w:ascii="Aptos" w:hAnsi="Aptos"/>
                <w:b w:val="0"/>
                <w:sz w:val="18"/>
              </w:rPr>
              <w:t>Moderated discussions and requests for suppliers, customers, or partners</w:t>
            </w:r>
          </w:p>
        </w:tc>
      </w:tr>
      <w:tr>
        <w:tc>
          <w:tcPr>
            <w:tcW w:type="dxa" w:w="4968"/>
            <w:vAlign w:val="center"/>
          </w:tcPr>
          <w:p>
            <w:pPr>
              <w:spacing w:after="20"/>
            </w:pPr>
            <w:r/>
            <w:r>
              <w:rPr>
                <w:rFonts w:ascii="Aptos" w:hAnsi="Aptos"/>
                <w:b w:val="0"/>
                <w:sz w:val="18"/>
              </w:rPr>
              <w:t>Payments</w:t>
            </w:r>
          </w:p>
        </w:tc>
        <w:tc>
          <w:tcPr>
            <w:tcW w:type="dxa" w:w="4968"/>
            <w:vAlign w:val="center"/>
          </w:tcPr>
          <w:p>
            <w:pPr>
              <w:spacing w:after="20"/>
            </w:pPr>
            <w:r/>
            <w:r>
              <w:rPr>
                <w:rFonts w:ascii="Aptos" w:hAnsi="Aptos"/>
                <w:b w:val="0"/>
                <w:sz w:val="18"/>
              </w:rPr>
              <w:t>Subscription management, receipts, cancellation, refunds, and admin reconciliation</w:t>
            </w:r>
          </w:p>
        </w:tc>
      </w:tr>
      <w:tr>
        <w:tc>
          <w:tcPr>
            <w:tcW w:type="dxa" w:w="4968"/>
            <w:vAlign w:val="center"/>
            <w:shd w:fill="F3EEF5"/>
          </w:tcPr>
          <w:p>
            <w:pPr>
              <w:spacing w:after="20"/>
            </w:pPr>
            <w:r/>
            <w:r>
              <w:rPr>
                <w:rFonts w:ascii="Aptos" w:hAnsi="Aptos"/>
                <w:b w:val="0"/>
                <w:sz w:val="18"/>
              </w:rPr>
              <w:t>Administration</w:t>
            </w:r>
          </w:p>
        </w:tc>
        <w:tc>
          <w:tcPr>
            <w:tcW w:type="dxa" w:w="4968"/>
            <w:vAlign w:val="center"/>
            <w:shd w:fill="F3EEF5"/>
          </w:tcPr>
          <w:p>
            <w:pPr>
              <w:spacing w:after="20"/>
            </w:pPr>
            <w:r/>
            <w:r>
              <w:rPr>
                <w:rFonts w:ascii="Aptos" w:hAnsi="Aptos"/>
                <w:b w:val="0"/>
                <w:sz w:val="18"/>
              </w:rPr>
              <w:t>Member support, reports, moderation actions, plan management, and audit logs</w:t>
            </w:r>
          </w:p>
        </w:tc>
      </w:tr>
      <w:tr>
        <w:tc>
          <w:tcPr>
            <w:tcW w:type="dxa" w:w="4968"/>
            <w:vAlign w:val="center"/>
          </w:tcPr>
          <w:p>
            <w:pPr>
              <w:spacing w:after="20"/>
            </w:pPr>
            <w:r/>
            <w:r>
              <w:rPr>
                <w:rFonts w:ascii="Aptos" w:hAnsi="Aptos"/>
                <w:b w:val="0"/>
                <w:sz w:val="18"/>
              </w:rPr>
              <w:t>Security</w:t>
            </w:r>
          </w:p>
        </w:tc>
        <w:tc>
          <w:tcPr>
            <w:tcW w:type="dxa" w:w="4968"/>
            <w:vAlign w:val="center"/>
          </w:tcPr>
          <w:p>
            <w:pPr>
              <w:spacing w:after="20"/>
            </w:pPr>
            <w:r/>
            <w:r>
              <w:rPr>
                <w:rFonts w:ascii="Aptos" w:hAnsi="Aptos"/>
                <w:b w:val="0"/>
                <w:sz w:val="18"/>
              </w:rPr>
              <w:t>HTTPS, secure authentication, least-privilege access, backups, logging, and incident response</w:t>
            </w:r>
          </w:p>
        </w:tc>
      </w:tr>
      <w:tr>
        <w:tc>
          <w:tcPr>
            <w:tcW w:type="dxa" w:w="4968"/>
            <w:vAlign w:val="center"/>
            <w:shd w:fill="F3EEF5"/>
          </w:tcPr>
          <w:p>
            <w:pPr>
              <w:spacing w:after="20"/>
            </w:pPr>
            <w:r/>
            <w:r>
              <w:rPr>
                <w:rFonts w:ascii="Aptos" w:hAnsi="Aptos"/>
                <w:b w:val="0"/>
                <w:sz w:val="18"/>
              </w:rPr>
              <w:t>Accessibility</w:t>
            </w:r>
          </w:p>
        </w:tc>
        <w:tc>
          <w:tcPr>
            <w:tcW w:type="dxa" w:w="4968"/>
            <w:vAlign w:val="center"/>
            <w:shd w:fill="F3EEF5"/>
          </w:tcPr>
          <w:p>
            <w:pPr>
              <w:spacing w:after="20"/>
            </w:pPr>
            <w:r/>
            <w:r>
              <w:rPr>
                <w:rFonts w:ascii="Aptos" w:hAnsi="Aptos"/>
                <w:b w:val="0"/>
                <w:sz w:val="18"/>
              </w:rPr>
              <w:t>Responsive mobile design, readable typography, simple navigation, and accessible forms</w:t>
            </w:r>
          </w:p>
        </w:tc>
      </w:tr>
    </w:tbl>
    <w:p/>
    <w:p>
      <w:pPr>
        <w:pStyle w:val="Heading2"/>
      </w:pPr>
      <w:r>
        <w:t>Development approach</w:t>
      </w:r>
    </w:p>
    <w:p>
      <w:r>
        <w:t>Commission a written specification and request comparable quotes from at least three developers or agencies. Ask each to itemise design, development, hosting, security, testing, payment integration, maintenance, support, and ownership of source code. Ensure the founder controls the domain, hosting, code repository, analytics, and payment accounts. Do not select a developer on price alone.</w:t>
      </w:r>
    </w:p>
    <w:p>
      <w:r>
        <w:t>A no-code or low-code pilot may reduce initial costs, but a full dating and networking platform still requires careful handling of private messages, identity, abuse reports, payments, and personal data. Native mobile apps can be considered after the website demonstrates demand.</w:t>
      </w:r>
    </w:p>
    <w:p>
      <w:pPr>
        <w:pStyle w:val="Heading1"/>
      </w:pPr>
      <w:r>
        <w:t>12. Launch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4B2F59"/>
          </w:tcPr>
          <w:p>
            <w:pPr>
              <w:spacing w:after="20"/>
            </w:pPr>
            <w:r/>
            <w:r>
              <w:rPr>
                <w:rFonts w:ascii="Aptos" w:hAnsi="Aptos"/>
                <w:b/>
                <w:color w:val="FFFFFF"/>
                <w:sz w:val="18"/>
              </w:rPr>
              <w:t>Phase</w:t>
            </w:r>
          </w:p>
        </w:tc>
        <w:tc>
          <w:tcPr>
            <w:tcW w:type="dxa" w:w="2484"/>
            <w:vAlign w:val="center"/>
            <w:shd w:fill="4B2F59"/>
          </w:tcPr>
          <w:p>
            <w:pPr>
              <w:spacing w:after="20"/>
            </w:pPr>
            <w:r/>
            <w:r>
              <w:rPr>
                <w:rFonts w:ascii="Aptos" w:hAnsi="Aptos"/>
                <w:b/>
                <w:color w:val="FFFFFF"/>
                <w:sz w:val="18"/>
              </w:rPr>
              <w:t>Timing guide</w:t>
            </w:r>
          </w:p>
        </w:tc>
        <w:tc>
          <w:tcPr>
            <w:tcW w:type="dxa" w:w="2484"/>
            <w:vAlign w:val="center"/>
            <w:shd w:fill="4B2F59"/>
          </w:tcPr>
          <w:p>
            <w:pPr>
              <w:spacing w:after="20"/>
            </w:pPr>
            <w:r/>
            <w:r>
              <w:rPr>
                <w:rFonts w:ascii="Aptos" w:hAnsi="Aptos"/>
                <w:b/>
                <w:color w:val="FFFFFF"/>
                <w:sz w:val="18"/>
              </w:rPr>
              <w:t>Key work</w:t>
            </w:r>
          </w:p>
        </w:tc>
        <w:tc>
          <w:tcPr>
            <w:tcW w:type="dxa" w:w="2484"/>
            <w:vAlign w:val="center"/>
            <w:shd w:fill="4B2F59"/>
          </w:tcPr>
          <w:p>
            <w:pPr>
              <w:spacing w:after="20"/>
            </w:pPr>
            <w:r/>
            <w:r>
              <w:rPr>
                <w:rFonts w:ascii="Aptos" w:hAnsi="Aptos"/>
                <w:b/>
                <w:color w:val="FFFFFF"/>
                <w:sz w:val="18"/>
              </w:rPr>
              <w:t>Deliverable</w:t>
            </w:r>
          </w:p>
        </w:tc>
      </w:tr>
      <w:tr>
        <w:tc>
          <w:tcPr>
            <w:tcW w:type="dxa" w:w="2484"/>
            <w:vAlign w:val="center"/>
          </w:tcPr>
          <w:p>
            <w:pPr>
              <w:spacing w:after="20"/>
            </w:pPr>
            <w:r/>
            <w:r>
              <w:rPr>
                <w:rFonts w:ascii="Aptos" w:hAnsi="Aptos"/>
                <w:b w:val="0"/>
                <w:sz w:val="18"/>
              </w:rPr>
              <w:t>1. Validate</w:t>
            </w:r>
          </w:p>
        </w:tc>
        <w:tc>
          <w:tcPr>
            <w:tcW w:type="dxa" w:w="2484"/>
            <w:vAlign w:val="center"/>
          </w:tcPr>
          <w:p>
            <w:pPr>
              <w:spacing w:after="20"/>
            </w:pPr>
            <w:r/>
            <w:r>
              <w:rPr>
                <w:rFonts w:ascii="Aptos" w:hAnsi="Aptos"/>
                <w:b w:val="0"/>
                <w:sz w:val="18"/>
              </w:rPr>
              <w:t>Weeks 1–3</w:t>
            </w:r>
          </w:p>
        </w:tc>
        <w:tc>
          <w:tcPr>
            <w:tcW w:type="dxa" w:w="2484"/>
            <w:vAlign w:val="center"/>
          </w:tcPr>
          <w:p>
            <w:pPr>
              <w:spacing w:after="20"/>
            </w:pPr>
            <w:r/>
            <w:r>
              <w:rPr>
                <w:rFonts w:ascii="Aptos" w:hAnsi="Aptos"/>
                <w:b w:val="0"/>
                <w:sz w:val="18"/>
              </w:rPr>
              <w:t>Interviews, market research, brand/domain checks, feature priorities</w:t>
            </w:r>
          </w:p>
        </w:tc>
        <w:tc>
          <w:tcPr>
            <w:tcW w:type="dxa" w:w="2484"/>
            <w:vAlign w:val="center"/>
          </w:tcPr>
          <w:p>
            <w:pPr>
              <w:spacing w:after="20"/>
            </w:pPr>
            <w:r/>
            <w:r>
              <w:rPr>
                <w:rFonts w:ascii="Aptos" w:hAnsi="Aptos"/>
                <w:b w:val="0"/>
                <w:sz w:val="18"/>
              </w:rPr>
              <w:t>Validated concept and initial requirements</w:t>
            </w:r>
          </w:p>
        </w:tc>
      </w:tr>
      <w:tr>
        <w:tc>
          <w:tcPr>
            <w:tcW w:type="dxa" w:w="2484"/>
            <w:vAlign w:val="center"/>
            <w:shd w:fill="F3EEF5"/>
          </w:tcPr>
          <w:p>
            <w:pPr>
              <w:spacing w:after="20"/>
            </w:pPr>
            <w:r/>
            <w:r>
              <w:rPr>
                <w:rFonts w:ascii="Aptos" w:hAnsi="Aptos"/>
                <w:b w:val="0"/>
                <w:sz w:val="18"/>
              </w:rPr>
              <w:t>2. Plan</w:t>
            </w:r>
          </w:p>
        </w:tc>
        <w:tc>
          <w:tcPr>
            <w:tcW w:type="dxa" w:w="2484"/>
            <w:vAlign w:val="center"/>
            <w:shd w:fill="F3EEF5"/>
          </w:tcPr>
          <w:p>
            <w:pPr>
              <w:spacing w:after="20"/>
            </w:pPr>
            <w:r/>
            <w:r>
              <w:rPr>
                <w:rFonts w:ascii="Aptos" w:hAnsi="Aptos"/>
                <w:b w:val="0"/>
                <w:sz w:val="18"/>
              </w:rPr>
              <w:t>Weeks 4–6</w:t>
            </w:r>
          </w:p>
        </w:tc>
        <w:tc>
          <w:tcPr>
            <w:tcW w:type="dxa" w:w="2484"/>
            <w:vAlign w:val="center"/>
            <w:shd w:fill="F3EEF5"/>
          </w:tcPr>
          <w:p>
            <w:pPr>
              <w:spacing w:after="20"/>
            </w:pPr>
            <w:r/>
            <w:r>
              <w:rPr>
                <w:rFonts w:ascii="Aptos" w:hAnsi="Aptos"/>
                <w:b w:val="0"/>
                <w:sz w:val="18"/>
              </w:rPr>
              <w:t>Business plan, legal review, payment-provider comparison, budget</w:t>
            </w:r>
          </w:p>
        </w:tc>
        <w:tc>
          <w:tcPr>
            <w:tcW w:type="dxa" w:w="2484"/>
            <w:vAlign w:val="center"/>
            <w:shd w:fill="F3EEF5"/>
          </w:tcPr>
          <w:p>
            <w:pPr>
              <w:spacing w:after="20"/>
            </w:pPr>
            <w:r/>
            <w:r>
              <w:rPr>
                <w:rFonts w:ascii="Aptos" w:hAnsi="Aptos"/>
                <w:b w:val="0"/>
                <w:sz w:val="18"/>
              </w:rPr>
              <w:t>Approved plan and cost estimate</w:t>
            </w:r>
          </w:p>
        </w:tc>
      </w:tr>
      <w:tr>
        <w:tc>
          <w:tcPr>
            <w:tcW w:type="dxa" w:w="2484"/>
            <w:vAlign w:val="center"/>
          </w:tcPr>
          <w:p>
            <w:pPr>
              <w:spacing w:after="20"/>
            </w:pPr>
            <w:r/>
            <w:r>
              <w:rPr>
                <w:rFonts w:ascii="Aptos" w:hAnsi="Aptos"/>
                <w:b w:val="0"/>
                <w:sz w:val="18"/>
              </w:rPr>
              <w:t>3. Specify and design</w:t>
            </w:r>
          </w:p>
        </w:tc>
        <w:tc>
          <w:tcPr>
            <w:tcW w:type="dxa" w:w="2484"/>
            <w:vAlign w:val="center"/>
          </w:tcPr>
          <w:p>
            <w:pPr>
              <w:spacing w:after="20"/>
            </w:pPr>
            <w:r/>
            <w:r>
              <w:rPr>
                <w:rFonts w:ascii="Aptos" w:hAnsi="Aptos"/>
                <w:b w:val="0"/>
                <w:sz w:val="18"/>
              </w:rPr>
              <w:t>Weeks 7–10</w:t>
            </w:r>
          </w:p>
        </w:tc>
        <w:tc>
          <w:tcPr>
            <w:tcW w:type="dxa" w:w="2484"/>
            <w:vAlign w:val="center"/>
          </w:tcPr>
          <w:p>
            <w:pPr>
              <w:spacing w:after="20"/>
            </w:pPr>
            <w:r/>
            <w:r>
              <w:rPr>
                <w:rFonts w:ascii="Aptos" w:hAnsi="Aptos"/>
                <w:b w:val="0"/>
                <w:sz w:val="18"/>
              </w:rPr>
              <w:t>User journeys, wireframes, visual identity, developer quotes</w:t>
            </w:r>
          </w:p>
        </w:tc>
        <w:tc>
          <w:tcPr>
            <w:tcW w:type="dxa" w:w="2484"/>
            <w:vAlign w:val="center"/>
          </w:tcPr>
          <w:p>
            <w:pPr>
              <w:spacing w:after="20"/>
            </w:pPr>
            <w:r/>
            <w:r>
              <w:rPr>
                <w:rFonts w:ascii="Aptos" w:hAnsi="Aptos"/>
                <w:b w:val="0"/>
                <w:sz w:val="18"/>
              </w:rPr>
              <w:t>Signed-off website specification</w:t>
            </w:r>
          </w:p>
        </w:tc>
      </w:tr>
      <w:tr>
        <w:tc>
          <w:tcPr>
            <w:tcW w:type="dxa" w:w="2484"/>
            <w:vAlign w:val="center"/>
            <w:shd w:fill="F3EEF5"/>
          </w:tcPr>
          <w:p>
            <w:pPr>
              <w:spacing w:after="20"/>
            </w:pPr>
            <w:r/>
            <w:r>
              <w:rPr>
                <w:rFonts w:ascii="Aptos" w:hAnsi="Aptos"/>
                <w:b w:val="0"/>
                <w:sz w:val="18"/>
              </w:rPr>
              <w:t>4. Build</w:t>
            </w:r>
          </w:p>
        </w:tc>
        <w:tc>
          <w:tcPr>
            <w:tcW w:type="dxa" w:w="2484"/>
            <w:vAlign w:val="center"/>
            <w:shd w:fill="F3EEF5"/>
          </w:tcPr>
          <w:p>
            <w:pPr>
              <w:spacing w:after="20"/>
            </w:pPr>
            <w:r/>
            <w:r>
              <w:rPr>
                <w:rFonts w:ascii="Aptos" w:hAnsi="Aptos"/>
                <w:b w:val="0"/>
                <w:sz w:val="18"/>
              </w:rPr>
              <w:t>Timing set by quote</w:t>
            </w:r>
          </w:p>
        </w:tc>
        <w:tc>
          <w:tcPr>
            <w:tcW w:type="dxa" w:w="2484"/>
            <w:vAlign w:val="center"/>
            <w:shd w:fill="F3EEF5"/>
          </w:tcPr>
          <w:p>
            <w:pPr>
              <w:spacing w:after="20"/>
            </w:pPr>
            <w:r/>
            <w:r>
              <w:rPr>
                <w:rFonts w:ascii="Aptos" w:hAnsi="Aptos"/>
                <w:b w:val="0"/>
                <w:sz w:val="18"/>
              </w:rPr>
              <w:t>Accounts, profiles, matching, business networking, payments, admin</w:t>
            </w:r>
          </w:p>
        </w:tc>
        <w:tc>
          <w:tcPr>
            <w:tcW w:type="dxa" w:w="2484"/>
            <w:vAlign w:val="center"/>
            <w:shd w:fill="F3EEF5"/>
          </w:tcPr>
          <w:p>
            <w:pPr>
              <w:spacing w:after="20"/>
            </w:pPr>
            <w:r/>
            <w:r>
              <w:rPr>
                <w:rFonts w:ascii="Aptos" w:hAnsi="Aptos"/>
                <w:b w:val="0"/>
                <w:sz w:val="18"/>
              </w:rPr>
              <w:t>Working test website</w:t>
            </w:r>
          </w:p>
        </w:tc>
      </w:tr>
      <w:tr>
        <w:tc>
          <w:tcPr>
            <w:tcW w:type="dxa" w:w="2484"/>
            <w:vAlign w:val="center"/>
          </w:tcPr>
          <w:p>
            <w:pPr>
              <w:spacing w:after="20"/>
            </w:pPr>
            <w:r/>
            <w:r>
              <w:rPr>
                <w:rFonts w:ascii="Aptos" w:hAnsi="Aptos"/>
                <w:b w:val="0"/>
                <w:sz w:val="18"/>
              </w:rPr>
              <w:t>5. Test and pilot</w:t>
            </w:r>
          </w:p>
        </w:tc>
        <w:tc>
          <w:tcPr>
            <w:tcW w:type="dxa" w:w="2484"/>
            <w:vAlign w:val="center"/>
          </w:tcPr>
          <w:p>
            <w:pPr>
              <w:spacing w:after="20"/>
            </w:pPr>
            <w:r/>
            <w:r>
              <w:rPr>
                <w:rFonts w:ascii="Aptos" w:hAnsi="Aptos"/>
                <w:b w:val="0"/>
                <w:sz w:val="18"/>
              </w:rPr>
              <w:t>Before public launch</w:t>
            </w:r>
          </w:p>
        </w:tc>
        <w:tc>
          <w:tcPr>
            <w:tcW w:type="dxa" w:w="2484"/>
            <w:vAlign w:val="center"/>
          </w:tcPr>
          <w:p>
            <w:pPr>
              <w:spacing w:after="20"/>
            </w:pPr>
            <w:r/>
            <w:r>
              <w:rPr>
                <w:rFonts w:ascii="Aptos" w:hAnsi="Aptos"/>
                <w:b w:val="0"/>
                <w:sz w:val="18"/>
              </w:rPr>
              <w:t>Security, usability, payment, privacy, and moderation tests</w:t>
            </w:r>
          </w:p>
        </w:tc>
        <w:tc>
          <w:tcPr>
            <w:tcW w:type="dxa" w:w="2484"/>
            <w:vAlign w:val="center"/>
          </w:tcPr>
          <w:p>
            <w:pPr>
              <w:spacing w:after="20"/>
            </w:pPr>
            <w:r/>
            <w:r>
              <w:rPr>
                <w:rFonts w:ascii="Aptos" w:hAnsi="Aptos"/>
                <w:b w:val="0"/>
                <w:sz w:val="18"/>
              </w:rPr>
              <w:t>Pilot-ready platform</w:t>
            </w:r>
          </w:p>
        </w:tc>
      </w:tr>
      <w:tr>
        <w:tc>
          <w:tcPr>
            <w:tcW w:type="dxa" w:w="2484"/>
            <w:vAlign w:val="center"/>
            <w:shd w:fill="F3EEF5"/>
          </w:tcPr>
          <w:p>
            <w:pPr>
              <w:spacing w:after="20"/>
            </w:pPr>
            <w:r/>
            <w:r>
              <w:rPr>
                <w:rFonts w:ascii="Aptos" w:hAnsi="Aptos"/>
                <w:b w:val="0"/>
                <w:sz w:val="18"/>
              </w:rPr>
              <w:t>6. Launch and improve</w:t>
            </w:r>
          </w:p>
        </w:tc>
        <w:tc>
          <w:tcPr>
            <w:tcW w:type="dxa" w:w="2484"/>
            <w:vAlign w:val="center"/>
            <w:shd w:fill="F3EEF5"/>
          </w:tcPr>
          <w:p>
            <w:pPr>
              <w:spacing w:after="20"/>
            </w:pPr>
            <w:r/>
            <w:r>
              <w:rPr>
                <w:rFonts w:ascii="Aptos" w:hAnsi="Aptos"/>
                <w:b w:val="0"/>
                <w:sz w:val="18"/>
              </w:rPr>
              <w:t>After pilot approval</w:t>
            </w:r>
          </w:p>
        </w:tc>
        <w:tc>
          <w:tcPr>
            <w:tcW w:type="dxa" w:w="2484"/>
            <w:vAlign w:val="center"/>
            <w:shd w:fill="F3EEF5"/>
          </w:tcPr>
          <w:p>
            <w:pPr>
              <w:spacing w:after="20"/>
            </w:pPr>
            <w:r/>
            <w:r>
              <w:rPr>
                <w:rFonts w:ascii="Aptos" w:hAnsi="Aptos"/>
                <w:b w:val="0"/>
                <w:sz w:val="18"/>
              </w:rPr>
              <w:t>Founding-member onboarding, feedback, support, targeted marketing</w:t>
            </w:r>
          </w:p>
        </w:tc>
        <w:tc>
          <w:tcPr>
            <w:tcW w:type="dxa" w:w="2484"/>
            <w:vAlign w:val="center"/>
            <w:shd w:fill="F3EEF5"/>
          </w:tcPr>
          <w:p>
            <w:pPr>
              <w:spacing w:after="20"/>
            </w:pPr>
            <w:r/>
            <w:r>
              <w:rPr>
                <w:rFonts w:ascii="Aptos" w:hAnsi="Aptos"/>
                <w:b w:val="0"/>
                <w:sz w:val="18"/>
              </w:rPr>
              <w:t>Measured public launch and iteration</w:t>
            </w:r>
          </w:p>
        </w:tc>
      </w:tr>
    </w:tbl>
    <w:p/>
    <w:p>
      <w:r>
        <w:t>The timeline is indicative. Actual delivery depends on scope, developer capacity, legal review, and funding.</w:t>
      </w:r>
    </w:p>
    <w:p>
      <w:pPr>
        <w:pStyle w:val="Heading1"/>
      </w:pPr>
      <w:r>
        <w:t>13. Funding Plan and Use of Funds</w:t>
      </w:r>
    </w:p>
    <w:p>
      <w:r>
        <w:t>The founder has indicated a preference to develop the concept first and seek funding later. The immediate objective is therefore not to guess a large investment amount, but to produce a credible package that lets developers and prospective funders evaluate the project.</w:t>
      </w:r>
    </w:p>
    <w:p>
      <w:pPr>
        <w:pStyle w:val="Heading2"/>
      </w:pPr>
      <w:r>
        <w:t>Funding package to prepare</w:t>
      </w:r>
    </w:p>
    <w:p>
      <w:pPr>
        <w:pStyle w:val="ListBullet"/>
      </w:pPr>
      <w:r>
        <w:t>Business plan and concise executive summary.</w:t>
      </w:r>
    </w:p>
    <w:p>
      <w:pPr>
        <w:pStyle w:val="ListBullet"/>
      </w:pPr>
      <w:r>
        <w:t>Website requirements and user-flow diagrams.</w:t>
      </w:r>
    </w:p>
    <w:p>
      <w:pPr>
        <w:pStyle w:val="ListBullet"/>
      </w:pPr>
      <w:r>
        <w:t>Comparable developer quotations and a delivery schedule.</w:t>
      </w:r>
    </w:p>
    <w:p>
      <w:pPr>
        <w:pStyle w:val="ListBullet"/>
      </w:pPr>
      <w:r>
        <w:t>Initial operating budget and 12-month cash-flow forecast.</w:t>
      </w:r>
    </w:p>
    <w:p>
      <w:pPr>
        <w:pStyle w:val="ListBullet"/>
      </w:pPr>
      <w:r>
        <w:t>Market validation results and evidence of member interest.</w:t>
      </w:r>
    </w:p>
    <w:p>
      <w:pPr>
        <w:pStyle w:val="ListBullet"/>
      </w:pPr>
      <w:r>
        <w:t>Payment-provider assessment and compliance work plan.</w:t>
      </w:r>
    </w:p>
    <w:p>
      <w:pPr>
        <w:pStyle w:val="ListBullet"/>
      </w:pPr>
      <w:r>
        <w:t>Launch marketing plan and measurable pilot targets.</w:t>
      </w:r>
    </w:p>
    <w:p>
      <w:pPr>
        <w:pStyle w:val="Heading2"/>
      </w:pPr>
      <w:r>
        <w:t>Potential uses of funds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B2F59"/>
          </w:tcPr>
          <w:p>
            <w:pPr>
              <w:spacing w:after="20"/>
            </w:pPr>
            <w:r/>
            <w:r>
              <w:rPr>
                <w:rFonts w:ascii="Aptos" w:hAnsi="Aptos"/>
                <w:b/>
                <w:color w:val="FFFFFF"/>
                <w:sz w:val="18"/>
              </w:rPr>
              <w:t>Use</w:t>
            </w:r>
          </w:p>
        </w:tc>
        <w:tc>
          <w:tcPr>
            <w:tcW w:type="dxa" w:w="4968"/>
            <w:vAlign w:val="center"/>
            <w:shd w:fill="4B2F59"/>
          </w:tcPr>
          <w:p>
            <w:pPr>
              <w:spacing w:after="20"/>
            </w:pPr>
            <w:r/>
            <w:r>
              <w:rPr>
                <w:rFonts w:ascii="Aptos" w:hAnsi="Aptos"/>
                <w:b/>
                <w:color w:val="FFFFFF"/>
                <w:sz w:val="18"/>
              </w:rPr>
              <w:t>What it covers</w:t>
            </w:r>
          </w:p>
        </w:tc>
      </w:tr>
      <w:tr>
        <w:tc>
          <w:tcPr>
            <w:tcW w:type="dxa" w:w="4968"/>
            <w:vAlign w:val="center"/>
          </w:tcPr>
          <w:p>
            <w:pPr>
              <w:spacing w:after="20"/>
            </w:pPr>
            <w:r/>
            <w:r>
              <w:rPr>
                <w:rFonts w:ascii="Aptos" w:hAnsi="Aptos"/>
                <w:b w:val="0"/>
                <w:sz w:val="18"/>
              </w:rPr>
              <w:t>Product design and development</w:t>
            </w:r>
          </w:p>
        </w:tc>
        <w:tc>
          <w:tcPr>
            <w:tcW w:type="dxa" w:w="4968"/>
            <w:vAlign w:val="center"/>
          </w:tcPr>
          <w:p>
            <w:pPr>
              <w:spacing w:after="20"/>
            </w:pPr>
            <w:r/>
            <w:r>
              <w:rPr>
                <w:rFonts w:ascii="Aptos" w:hAnsi="Aptos"/>
                <w:b w:val="0"/>
                <w:sz w:val="18"/>
              </w:rPr>
              <w:t>Specification, user experience, build, testing, and integrations</w:t>
            </w:r>
          </w:p>
        </w:tc>
      </w:tr>
      <w:tr>
        <w:tc>
          <w:tcPr>
            <w:tcW w:type="dxa" w:w="4968"/>
            <w:vAlign w:val="center"/>
            <w:shd w:fill="F3EEF5"/>
          </w:tcPr>
          <w:p>
            <w:pPr>
              <w:spacing w:after="20"/>
            </w:pPr>
            <w:r/>
            <w:r>
              <w:rPr>
                <w:rFonts w:ascii="Aptos" w:hAnsi="Aptos"/>
                <w:b w:val="0"/>
                <w:sz w:val="18"/>
              </w:rPr>
              <w:t>Hosting and software</w:t>
            </w:r>
          </w:p>
        </w:tc>
        <w:tc>
          <w:tcPr>
            <w:tcW w:type="dxa" w:w="4968"/>
            <w:vAlign w:val="center"/>
            <w:shd w:fill="F3EEF5"/>
          </w:tcPr>
          <w:p>
            <w:pPr>
              <w:spacing w:after="20"/>
            </w:pPr>
            <w:r/>
            <w:r>
              <w:rPr>
                <w:rFonts w:ascii="Aptos" w:hAnsi="Aptos"/>
                <w:b w:val="0"/>
                <w:sz w:val="18"/>
              </w:rPr>
              <w:t>Hosting, email, monitoring, backups, and support tools</w:t>
            </w:r>
          </w:p>
        </w:tc>
      </w:tr>
      <w:tr>
        <w:tc>
          <w:tcPr>
            <w:tcW w:type="dxa" w:w="4968"/>
            <w:vAlign w:val="center"/>
          </w:tcPr>
          <w:p>
            <w:pPr>
              <w:spacing w:after="20"/>
            </w:pPr>
            <w:r/>
            <w:r>
              <w:rPr>
                <w:rFonts w:ascii="Aptos" w:hAnsi="Aptos"/>
                <w:b w:val="0"/>
                <w:sz w:val="18"/>
              </w:rPr>
              <w:t>Safety and compliance</w:t>
            </w:r>
          </w:p>
        </w:tc>
        <w:tc>
          <w:tcPr>
            <w:tcW w:type="dxa" w:w="4968"/>
            <w:vAlign w:val="center"/>
          </w:tcPr>
          <w:p>
            <w:pPr>
              <w:spacing w:after="20"/>
            </w:pPr>
            <w:r/>
            <w:r>
              <w:rPr>
                <w:rFonts w:ascii="Aptos" w:hAnsi="Aptos"/>
                <w:b w:val="0"/>
                <w:sz w:val="18"/>
              </w:rPr>
              <w:t>Policies, moderation processes, privacy/security review, and legal advice</w:t>
            </w:r>
          </w:p>
        </w:tc>
      </w:tr>
      <w:tr>
        <w:tc>
          <w:tcPr>
            <w:tcW w:type="dxa" w:w="4968"/>
            <w:vAlign w:val="center"/>
            <w:shd w:fill="F3EEF5"/>
          </w:tcPr>
          <w:p>
            <w:pPr>
              <w:spacing w:after="20"/>
            </w:pPr>
            <w:r/>
            <w:r>
              <w:rPr>
                <w:rFonts w:ascii="Aptos" w:hAnsi="Aptos"/>
                <w:b w:val="0"/>
                <w:sz w:val="18"/>
              </w:rPr>
              <w:t>Payment setup</w:t>
            </w:r>
          </w:p>
        </w:tc>
        <w:tc>
          <w:tcPr>
            <w:tcW w:type="dxa" w:w="4968"/>
            <w:vAlign w:val="center"/>
            <w:shd w:fill="F3EEF5"/>
          </w:tcPr>
          <w:p>
            <w:pPr>
              <w:spacing w:after="20"/>
            </w:pPr>
            <w:r/>
            <w:r>
              <w:rPr>
                <w:rFonts w:ascii="Aptos" w:hAnsi="Aptos"/>
                <w:b w:val="0"/>
                <w:sz w:val="18"/>
              </w:rPr>
              <w:t>Provider integration, subscription logic, and reconciliation</w:t>
            </w:r>
          </w:p>
        </w:tc>
      </w:tr>
      <w:tr>
        <w:tc>
          <w:tcPr>
            <w:tcW w:type="dxa" w:w="4968"/>
            <w:vAlign w:val="center"/>
          </w:tcPr>
          <w:p>
            <w:pPr>
              <w:spacing w:after="20"/>
            </w:pPr>
            <w:r/>
            <w:r>
              <w:rPr>
                <w:rFonts w:ascii="Aptos" w:hAnsi="Aptos"/>
                <w:b w:val="0"/>
                <w:sz w:val="18"/>
              </w:rPr>
              <w:t>Launch marketing</w:t>
            </w:r>
          </w:p>
        </w:tc>
        <w:tc>
          <w:tcPr>
            <w:tcW w:type="dxa" w:w="4968"/>
            <w:vAlign w:val="center"/>
          </w:tcPr>
          <w:p>
            <w:pPr>
              <w:spacing w:after="20"/>
            </w:pPr>
            <w:r/>
            <w:r>
              <w:rPr>
                <w:rFonts w:ascii="Aptos" w:hAnsi="Aptos"/>
                <w:b w:val="0"/>
                <w:sz w:val="18"/>
              </w:rPr>
              <w:t>Brand assets, content, pilot recruitment, and targeted promotion</w:t>
            </w:r>
          </w:p>
        </w:tc>
      </w:tr>
      <w:tr>
        <w:tc>
          <w:tcPr>
            <w:tcW w:type="dxa" w:w="4968"/>
            <w:vAlign w:val="center"/>
            <w:shd w:fill="F3EEF5"/>
          </w:tcPr>
          <w:p>
            <w:pPr>
              <w:spacing w:after="20"/>
            </w:pPr>
            <w:r/>
            <w:r>
              <w:rPr>
                <w:rFonts w:ascii="Aptos" w:hAnsi="Aptos"/>
                <w:b w:val="0"/>
                <w:sz w:val="18"/>
              </w:rPr>
              <w:t>Operating reserve</w:t>
            </w:r>
          </w:p>
        </w:tc>
        <w:tc>
          <w:tcPr>
            <w:tcW w:type="dxa" w:w="4968"/>
            <w:vAlign w:val="center"/>
            <w:shd w:fill="F3EEF5"/>
          </w:tcPr>
          <w:p>
            <w:pPr>
              <w:spacing w:after="20"/>
            </w:pPr>
            <w:r/>
            <w:r>
              <w:rPr>
                <w:rFonts w:ascii="Aptos" w:hAnsi="Aptos"/>
                <w:b w:val="0"/>
                <w:sz w:val="18"/>
              </w:rPr>
              <w:t>Support, maintenance, refunds, and unforeseen costs</w:t>
            </w:r>
          </w:p>
        </w:tc>
      </w:tr>
    </w:tbl>
    <w:p/>
    <w:p>
      <w:r>
        <w:t>Do not present a funding request as final until quotations and a realistic cash-flow model are available. Keep an appropriate contingency and avoid spending heavily on paid acquisition before retention and willingness to pay have been tested.</w:t>
      </w:r>
    </w:p>
    <w:p>
      <w:pPr>
        <w:pStyle w:val="Heading1"/>
      </w:pPr>
      <w:r>
        <w:t>14. Key Risks and Mitigation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B2F59"/>
          </w:tcPr>
          <w:p>
            <w:pPr>
              <w:spacing w:after="20"/>
            </w:pPr>
            <w:r/>
            <w:r>
              <w:rPr>
                <w:rFonts w:ascii="Aptos" w:hAnsi="Aptos"/>
                <w:b/>
                <w:color w:val="FFFFFF"/>
                <w:sz w:val="18"/>
              </w:rPr>
              <w:t>Risk</w:t>
            </w:r>
          </w:p>
        </w:tc>
        <w:tc>
          <w:tcPr>
            <w:tcW w:type="dxa" w:w="4968"/>
            <w:vAlign w:val="center"/>
            <w:shd w:fill="4B2F59"/>
          </w:tcPr>
          <w:p>
            <w:pPr>
              <w:spacing w:after="20"/>
            </w:pPr>
            <w:r/>
            <w:r>
              <w:rPr>
                <w:rFonts w:ascii="Aptos" w:hAnsi="Aptos"/>
                <w:b/>
                <w:color w:val="FFFFFF"/>
                <w:sz w:val="18"/>
              </w:rPr>
              <w:t>Mitigation</w:t>
            </w:r>
          </w:p>
        </w:tc>
      </w:tr>
      <w:tr>
        <w:tc>
          <w:tcPr>
            <w:tcW w:type="dxa" w:w="4968"/>
            <w:vAlign w:val="center"/>
          </w:tcPr>
          <w:p>
            <w:pPr>
              <w:spacing w:after="20"/>
            </w:pPr>
            <w:r/>
            <w:r>
              <w:rPr>
                <w:rFonts w:ascii="Aptos" w:hAnsi="Aptos"/>
                <w:b w:val="0"/>
                <w:sz w:val="18"/>
              </w:rPr>
              <w:t>Insufficient active members</w:t>
            </w:r>
          </w:p>
        </w:tc>
        <w:tc>
          <w:tcPr>
            <w:tcW w:type="dxa" w:w="4968"/>
            <w:vAlign w:val="center"/>
          </w:tcPr>
          <w:p>
            <w:pPr>
              <w:spacing w:after="20"/>
            </w:pPr>
            <w:r/>
            <w:r>
              <w:rPr>
                <w:rFonts w:ascii="Aptos" w:hAnsi="Aptos"/>
                <w:b w:val="0"/>
                <w:sz w:val="18"/>
              </w:rPr>
              <w:t>Validate demand; launch focused pilot groups; build local activity density within a global service.</w:t>
            </w:r>
          </w:p>
        </w:tc>
      </w:tr>
      <w:tr>
        <w:tc>
          <w:tcPr>
            <w:tcW w:type="dxa" w:w="4968"/>
            <w:vAlign w:val="center"/>
            <w:shd w:fill="F3EEF5"/>
          </w:tcPr>
          <w:p>
            <w:pPr>
              <w:spacing w:after="20"/>
            </w:pPr>
            <w:r/>
            <w:r>
              <w:rPr>
                <w:rFonts w:ascii="Aptos" w:hAnsi="Aptos"/>
                <w:b w:val="0"/>
                <w:sz w:val="18"/>
              </w:rPr>
              <w:t>Scams or fake profiles</w:t>
            </w:r>
          </w:p>
        </w:tc>
        <w:tc>
          <w:tcPr>
            <w:tcW w:type="dxa" w:w="4968"/>
            <w:vAlign w:val="center"/>
            <w:shd w:fill="F3EEF5"/>
          </w:tcPr>
          <w:p>
            <w:pPr>
              <w:spacing w:after="20"/>
            </w:pPr>
            <w:r/>
            <w:r>
              <w:rPr>
                <w:rFonts w:ascii="Aptos" w:hAnsi="Aptos"/>
                <w:b w:val="0"/>
                <w:sz w:val="18"/>
              </w:rPr>
              <w:t>Verification, reporting, moderation, clear rules, and rapid response.</w:t>
            </w:r>
          </w:p>
        </w:tc>
      </w:tr>
      <w:tr>
        <w:tc>
          <w:tcPr>
            <w:tcW w:type="dxa" w:w="4968"/>
            <w:vAlign w:val="center"/>
          </w:tcPr>
          <w:p>
            <w:pPr>
              <w:spacing w:after="20"/>
            </w:pPr>
            <w:r/>
            <w:r>
              <w:rPr>
                <w:rFonts w:ascii="Aptos" w:hAnsi="Aptos"/>
                <w:b w:val="0"/>
                <w:sz w:val="18"/>
              </w:rPr>
              <w:t>Privacy breach</w:t>
            </w:r>
          </w:p>
        </w:tc>
        <w:tc>
          <w:tcPr>
            <w:tcW w:type="dxa" w:w="4968"/>
            <w:vAlign w:val="center"/>
          </w:tcPr>
          <w:p>
            <w:pPr>
              <w:spacing w:after="20"/>
            </w:pPr>
            <w:r/>
            <w:r>
              <w:rPr>
                <w:rFonts w:ascii="Aptos" w:hAnsi="Aptos"/>
                <w:b w:val="0"/>
                <w:sz w:val="18"/>
              </w:rPr>
              <w:t>Data minimisation, secure design, access controls, testing, backups, and incident plan.</w:t>
            </w:r>
          </w:p>
        </w:tc>
      </w:tr>
      <w:tr>
        <w:tc>
          <w:tcPr>
            <w:tcW w:type="dxa" w:w="4968"/>
            <w:vAlign w:val="center"/>
            <w:shd w:fill="F3EEF5"/>
          </w:tcPr>
          <w:p>
            <w:pPr>
              <w:spacing w:after="20"/>
            </w:pPr>
            <w:r/>
            <w:r>
              <w:rPr>
                <w:rFonts w:ascii="Aptos" w:hAnsi="Aptos"/>
                <w:b w:val="0"/>
                <w:sz w:val="18"/>
              </w:rPr>
              <w:t>Payment limitations</w:t>
            </w:r>
          </w:p>
        </w:tc>
        <w:tc>
          <w:tcPr>
            <w:tcW w:type="dxa" w:w="4968"/>
            <w:vAlign w:val="center"/>
            <w:shd w:fill="F3EEF5"/>
          </w:tcPr>
          <w:p>
            <w:pPr>
              <w:spacing w:after="20"/>
            </w:pPr>
            <w:r/>
            <w:r>
              <w:rPr>
                <w:rFonts w:ascii="Aptos" w:hAnsi="Aptos"/>
                <w:b w:val="0"/>
                <w:sz w:val="18"/>
              </w:rPr>
              <w:t>Confirm provider eligibility and currencies before building; retain a fallback plan.</w:t>
            </w:r>
          </w:p>
        </w:tc>
      </w:tr>
      <w:tr>
        <w:tc>
          <w:tcPr>
            <w:tcW w:type="dxa" w:w="4968"/>
            <w:vAlign w:val="center"/>
          </w:tcPr>
          <w:p>
            <w:pPr>
              <w:spacing w:after="20"/>
            </w:pPr>
            <w:r/>
            <w:r>
              <w:rPr>
                <w:rFonts w:ascii="Aptos" w:hAnsi="Aptos"/>
                <w:b w:val="0"/>
                <w:sz w:val="18"/>
              </w:rPr>
              <w:t>High development costs</w:t>
            </w:r>
          </w:p>
        </w:tc>
        <w:tc>
          <w:tcPr>
            <w:tcW w:type="dxa" w:w="4968"/>
            <w:vAlign w:val="center"/>
          </w:tcPr>
          <w:p>
            <w:pPr>
              <w:spacing w:after="20"/>
            </w:pPr>
            <w:r/>
            <w:r>
              <w:rPr>
                <w:rFonts w:ascii="Aptos" w:hAnsi="Aptos"/>
                <w:b w:val="0"/>
                <w:sz w:val="18"/>
              </w:rPr>
              <w:t>Define MVP, compare itemised quotes, stage delivery, and control scope.</w:t>
            </w:r>
          </w:p>
        </w:tc>
      </w:tr>
      <w:tr>
        <w:tc>
          <w:tcPr>
            <w:tcW w:type="dxa" w:w="4968"/>
            <w:vAlign w:val="center"/>
            <w:shd w:fill="F3EEF5"/>
          </w:tcPr>
          <w:p>
            <w:pPr>
              <w:spacing w:after="20"/>
            </w:pPr>
            <w:r/>
            <w:r>
              <w:rPr>
                <w:rFonts w:ascii="Aptos" w:hAnsi="Aptos"/>
                <w:b w:val="0"/>
                <w:sz w:val="18"/>
              </w:rPr>
              <w:t>Low subscription conversion</w:t>
            </w:r>
          </w:p>
        </w:tc>
        <w:tc>
          <w:tcPr>
            <w:tcW w:type="dxa" w:w="4968"/>
            <w:vAlign w:val="center"/>
            <w:shd w:fill="F3EEF5"/>
          </w:tcPr>
          <w:p>
            <w:pPr>
              <w:spacing w:after="20"/>
            </w:pPr>
            <w:r/>
            <w:r>
              <w:rPr>
                <w:rFonts w:ascii="Aptos" w:hAnsi="Aptos"/>
                <w:b w:val="0"/>
                <w:sz w:val="18"/>
              </w:rPr>
              <w:t>Test pricing and benefits; offer clear value; monitor retention and cancellations.</w:t>
            </w:r>
          </w:p>
        </w:tc>
      </w:tr>
      <w:tr>
        <w:tc>
          <w:tcPr>
            <w:tcW w:type="dxa" w:w="4968"/>
            <w:vAlign w:val="center"/>
          </w:tcPr>
          <w:p>
            <w:pPr>
              <w:spacing w:after="20"/>
            </w:pPr>
            <w:r/>
            <w:r>
              <w:rPr>
                <w:rFonts w:ascii="Aptos" w:hAnsi="Aptos"/>
                <w:b w:val="0"/>
                <w:sz w:val="18"/>
              </w:rPr>
              <w:t>Business opportunity fraud</w:t>
            </w:r>
          </w:p>
        </w:tc>
        <w:tc>
          <w:tcPr>
            <w:tcW w:type="dxa" w:w="4968"/>
            <w:vAlign w:val="center"/>
          </w:tcPr>
          <w:p>
            <w:pPr>
              <w:spacing w:after="20"/>
            </w:pPr>
            <w:r/>
            <w:r>
              <w:rPr>
                <w:rFonts w:ascii="Aptos" w:hAnsi="Aptos"/>
                <w:b w:val="0"/>
                <w:sz w:val="18"/>
              </w:rPr>
              <w:t>Moderate listings, require disclosures, prohibit deceptive claims, and educate members.</w:t>
            </w:r>
          </w:p>
        </w:tc>
      </w:tr>
      <w:tr>
        <w:tc>
          <w:tcPr>
            <w:tcW w:type="dxa" w:w="4968"/>
            <w:vAlign w:val="center"/>
            <w:shd w:fill="F3EEF5"/>
          </w:tcPr>
          <w:p>
            <w:pPr>
              <w:spacing w:after="20"/>
            </w:pPr>
            <w:r/>
            <w:r>
              <w:rPr>
                <w:rFonts w:ascii="Aptos" w:hAnsi="Aptos"/>
                <w:b w:val="0"/>
                <w:sz w:val="18"/>
              </w:rPr>
              <w:t>Travel incident or dispute</w:t>
            </w:r>
          </w:p>
        </w:tc>
        <w:tc>
          <w:tcPr>
            <w:tcW w:type="dxa" w:w="4968"/>
            <w:vAlign w:val="center"/>
            <w:shd w:fill="F3EEF5"/>
          </w:tcPr>
          <w:p>
            <w:pPr>
              <w:spacing w:after="20"/>
            </w:pPr>
            <w:r/>
            <w:r>
              <w:rPr>
                <w:rFonts w:ascii="Aptos" w:hAnsi="Aptos"/>
                <w:b w:val="0"/>
                <w:sz w:val="18"/>
              </w:rPr>
              <w:t>Use reputable providers, clear terms, safety planning, and legal review.</w:t>
            </w:r>
          </w:p>
        </w:tc>
      </w:tr>
      <w:tr>
        <w:tc>
          <w:tcPr>
            <w:tcW w:type="dxa" w:w="4968"/>
            <w:vAlign w:val="center"/>
          </w:tcPr>
          <w:p>
            <w:pPr>
              <w:spacing w:after="20"/>
            </w:pPr>
            <w:r/>
            <w:r>
              <w:rPr>
                <w:rFonts w:ascii="Aptos" w:hAnsi="Aptos"/>
                <w:b w:val="0"/>
                <w:sz w:val="18"/>
              </w:rPr>
              <w:t>Founder dependence</w:t>
            </w:r>
          </w:p>
        </w:tc>
        <w:tc>
          <w:tcPr>
            <w:tcW w:type="dxa" w:w="4968"/>
            <w:vAlign w:val="center"/>
          </w:tcPr>
          <w:p>
            <w:pPr>
              <w:spacing w:after="20"/>
            </w:pPr>
            <w:r/>
            <w:r>
              <w:rPr>
                <w:rFonts w:ascii="Aptos" w:hAnsi="Aptos"/>
                <w:b w:val="0"/>
                <w:sz w:val="18"/>
              </w:rPr>
              <w:t>Document procedures, use business-owned accounts, and establish support processes.</w:t>
            </w:r>
          </w:p>
        </w:tc>
      </w:tr>
    </w:tbl>
    <w:p/>
    <w:p>
      <w:pPr>
        <w:pStyle w:val="Heading1"/>
      </w:pPr>
      <w:r>
        <w:t>15. Success Measures</w:t>
      </w:r>
    </w:p>
    <w:p>
      <w:r>
        <w:t>Review performance monthly. The platform should measure meaningful participation and financial sustainability, not just registrations.</w:t>
      </w:r>
    </w:p>
    <w:p>
      <w:pPr>
        <w:pStyle w:val="ListBullet"/>
      </w:pPr>
      <w:r>
        <w:t>New registrations and verified/appropriately screened members.</w:t>
      </w:r>
    </w:p>
    <w:p>
      <w:pPr>
        <w:pStyle w:val="ListBullet"/>
      </w:pPr>
      <w:r>
        <w:t>Monthly active members and return visits.</w:t>
      </w:r>
    </w:p>
    <w:p>
      <w:pPr>
        <w:pStyle w:val="ListBullet"/>
      </w:pPr>
      <w:r>
        <w:t>Connections initiated and member-reported satisfaction.</w:t>
      </w:r>
    </w:p>
    <w:p>
      <w:pPr>
        <w:pStyle w:val="ListBullet"/>
      </w:pPr>
      <w:r>
        <w:t>Business profiles completed and meaningful business conversations initiated.</w:t>
      </w:r>
    </w:p>
    <w:p>
      <w:pPr>
        <w:pStyle w:val="ListBullet"/>
      </w:pPr>
      <w:r>
        <w:t>Event registrations and repeat participation.</w:t>
      </w:r>
    </w:p>
    <w:p>
      <w:pPr>
        <w:pStyle w:val="ListBullet"/>
      </w:pPr>
      <w:r>
        <w:t>Free-to-paid conversion, churn, failed payments, refunds, and monthly recurring revenue.</w:t>
      </w:r>
    </w:p>
    <w:p>
      <w:pPr>
        <w:pStyle w:val="ListBullet"/>
      </w:pPr>
      <w:r>
        <w:t>Acquisition cost and contribution margin.</w:t>
      </w:r>
    </w:p>
    <w:p>
      <w:pPr>
        <w:pStyle w:val="ListBullet"/>
      </w:pPr>
      <w:r>
        <w:t>Safety reports, response time, and resolution rate.</w:t>
      </w:r>
    </w:p>
    <w:p>
      <w:pPr>
        <w:pStyle w:val="ListBullet"/>
      </w:pPr>
      <w:r>
        <w:t>Member feedback on inclusion, trust, usability, and value.</w:t>
      </w:r>
    </w:p>
    <w:p>
      <w:pPr>
        <w:pStyle w:val="Heading1"/>
      </w:pPr>
      <w:r>
        <w:t>16. Immediate Next Actions</w:t>
      </w:r>
    </w:p>
    <w:p>
      <w:pPr>
        <w:pStyle w:val="ListNumber"/>
      </w:pPr>
      <w:r>
        <w:t>Check whether foreverbeginsagain.org is available, then register it in an account controlled by the founder if available.</w:t>
      </w:r>
    </w:p>
    <w:p>
      <w:pPr>
        <w:pStyle w:val="ListNumber"/>
      </w:pPr>
      <w:r>
        <w:t>Conduct 30–50 discovery interviews and a short survey with adults aged 40–80, including business owners.</w:t>
      </w:r>
    </w:p>
    <w:p>
      <w:pPr>
        <w:pStyle w:val="ListNumber"/>
      </w:pPr>
      <w:r>
        <w:t>Decide the first priority markets for marketing while keeping the service designed for international use.</w:t>
      </w:r>
    </w:p>
    <w:p>
      <w:pPr>
        <w:pStyle w:val="ListNumber"/>
      </w:pPr>
      <w:r>
        <w:t>Create a detailed website specification and simple page wireframes.</w:t>
      </w:r>
    </w:p>
    <w:p>
      <w:pPr>
        <w:pStyle w:val="ListNumber"/>
      </w:pPr>
      <w:r>
        <w:t>Request at least three itemised developer quotations.</w:t>
      </w:r>
    </w:p>
    <w:p>
      <w:pPr>
        <w:pStyle w:val="ListNumber"/>
      </w:pPr>
      <w:r>
        <w:t>Compare payment providers based on business eligibility, recurring payments, accepted customer currencies, settlement options, fees, and dispute handling.</w:t>
      </w:r>
    </w:p>
    <w:p>
      <w:pPr>
        <w:pStyle w:val="ListNumber"/>
      </w:pPr>
      <w:r>
        <w:t>Obtain legal and privacy advice for the business’s country of registration and initial target markets.</w:t>
      </w:r>
    </w:p>
    <w:p>
      <w:pPr>
        <w:pStyle w:val="ListNumber"/>
      </w:pPr>
      <w:r>
        <w:t>Build and test a small pilot before launching broad international advertising.</w:t>
      </w:r>
    </w:p>
    <w:p>
      <w:pPr>
        <w:pStyle w:val="Heading1"/>
      </w:pPr>
      <w:r>
        <w:t>Closing Statement</w:t>
      </w:r>
    </w:p>
    <w:p>
      <w:r>
        <w:t>Forever Begins Again is built on the belief that meaningful connection and new opportunities remain possible throughout adulthood. By combining companionship, friendship, business networking, leisure, travel, and shared experiences within a safe and well-managed community, the platform can pursue both social value and commercial sustainability. The best next step is disciplined validation, followed by a clearly scoped product, transparent financial planning, and a careful launch.</w:t>
      </w:r>
    </w:p>
    <w:p>
      <w:r>
        <w:t>Proposed brand line: FOREVER BEGINS AGAIN — Your Past Is a Chapter. Your Future Is Still a Story.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working document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FOREVER BEGINS AGAIN  |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B2F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B2F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2F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B2F5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