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ОТЧЁТ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ПО ЛАБОРАТОРНОЙ РАБОТЕ №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tabs>
          <w:tab w:val="clear" w:pos="708"/>
          <w:tab w:val="left" w:pos="78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Численное решение систем линейных алгебраических уравнений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(Вариант 15)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Выполнил студент 3 курса ПМ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Ушаков Никита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Постановка задачи: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</w:r>
      <w:r>
        <w:rPr/>
        <w:drawing>
          <wp:inline distT="0" distB="0" distL="114935" distR="114935">
            <wp:extent cx="561975" cy="219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561975" cy="2190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>
      <w:pPr>
        <w:pStyle w:val="Normal"/>
        <w:widowControl w:val="false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Оценить погрешности методов.</w:t>
      </w:r>
    </w:p>
    <w:p>
      <w:pPr>
        <w:pStyle w:val="Normal"/>
        <w:widowControl w:val="false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r>
    </w:p>
    <w:tbl>
      <w:tblPr>
        <w:tblStyle w:val="TableNormal"/>
        <w:tblW w:w="8430" w:type="dxa"/>
        <w:jc w:val="left"/>
        <w:tblInd w:w="105" w:type="dxa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719"/>
        <w:gridCol w:w="4516"/>
        <w:gridCol w:w="1470"/>
        <w:gridCol w:w="1724"/>
      </w:tblGrid>
      <w:tr>
        <w:trPr>
          <w:trHeight w:val="300" w:hRule="atLeast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08" w:right="-108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  <w:lang w:val="ru-RU"/>
              </w:rPr>
              <w:t>№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08" w:right="-108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z w:val="26"/>
                <w:szCs w:val="26"/>
                <w:lang w:val="ru-RU"/>
              </w:rPr>
              <w:t>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z w:val="26"/>
                <w:szCs w:val="26"/>
                <w:lang w:val="ru-RU"/>
              </w:rPr>
              <w:t>x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  <w:vertAlign w:val="superscript"/>
                <w:lang w:val="ru-RU"/>
              </w:rPr>
              <w:t>*</w:t>
            </w:r>
          </w:p>
        </w:tc>
      </w:tr>
      <w:tr>
        <w:trPr>
          <w:trHeight w:val="300" w:hRule="atLeast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108" w:right="-108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  <w:lang w:val="ru-RU"/>
              </w:rPr>
              <w:t>1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7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</w:rPr>
            </w:pPr>
            <w:r>
              <w:rPr/>
              <w:drawing>
                <wp:inline distT="0" distB="0" distL="114935" distR="114935">
                  <wp:extent cx="1362075" cy="76200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ru-RU"/>
              </w:rPr>
              <w:t>-2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ru-RU"/>
              </w:rPr>
              <w:t>5,3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ru-RU"/>
              </w:rPr>
              <w:t>10,3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ru-RU"/>
              </w:rPr>
              <w:t>12,6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6"/>
                <w:szCs w:val="26"/>
              </w:rPr>
            </w:pPr>
            <w:r>
              <w:rPr/>
              <w:drawing>
                <wp:inline distT="0" distB="0" distL="114935" distR="114935">
                  <wp:extent cx="209550" cy="742950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Метод Гаусса с выбором главного элемента.</w:t>
      </w:r>
    </w:p>
    <w:p>
      <w:pPr>
        <w:pStyle w:val="Normal"/>
        <w:spacing w:lineRule="auto" w:line="276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начале - приведение системы к матричному виду: система линейных уравнений записывается в виде расширенной матрицы. </w:t>
      </w:r>
    </w:p>
    <w:p>
      <w:pPr>
        <w:pStyle w:val="Normal"/>
        <w:spacing w:lineRule="auto" w:line="276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Прямой ход с выбором ведущего элемента: на каждом шаге выбирается ведущий элемент (главный элемент) не только по столбцу, но и по строке. Для этого происходит поиск максимального элемента в текущем столбце и текущей строке, после чего строки матрицы переставляются таким образом, чтобы максимальный элемент стал ведущим. Затем происходит исключение переменных как в классическом методе Гаусса. </w:t>
      </w:r>
    </w:p>
    <w:p>
      <w:pPr>
        <w:pStyle w:val="Normal"/>
        <w:spacing w:lineRule="auto" w:line="276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Обратный ход: после того как матрица приведена к треугольному виду, происходит обратный ход, в результате которого находятся значения переменных путем обратной подстановки.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Прямым ходом привели исходную матрицу к треугольному виду</w:t>
      </w:r>
    </w:p>
    <w:p>
      <w:pPr>
        <w:pStyle w:val="Normal"/>
        <w:rPr/>
      </w:pPr>
      <w:r>
        <w:rPr/>
        <w:drawing>
          <wp:inline distT="0" distB="0" distL="114935" distR="114935">
            <wp:extent cx="4828540" cy="9239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Обратным ходом нашли неизвестные:</w:t>
      </w:r>
    </w:p>
    <w:p>
      <w:pPr>
        <w:pStyle w:val="Normal"/>
        <w:rPr/>
      </w:pPr>
      <w:r>
        <w:rPr/>
        <w:drawing>
          <wp:inline distT="0" distB="0" distL="114935" distR="114935">
            <wp:extent cx="4037965" cy="6381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Погрешность приближенного решения с точным равна 10^(-16)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</w:rPr>
        <w:t>Метод Зейделя.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Инициализируем начальное приближение в виде нулевого вектора. Запускаем итерационный процесс, обновляем значения переменных последовательно. При вычислении нового значения для i-той переменной, используем как старые, так и новые значения для предыдущих переменных (i-1).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данном случае для преобразования матрицы условие сходимости не выполняется.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114935" distR="114935">
            <wp:extent cx="933450" cy="48006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Поэтому приводим к диагональному виду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 как теперь сходится, то запускаем итерационный процесс и получаем приближенное значение.</w:t>
      </w:r>
    </w:p>
    <w:p>
      <w:pPr>
        <w:pStyle w:val="Normal"/>
        <w:rPr/>
      </w:pPr>
      <w:r>
        <w:rPr/>
        <w:drawing>
          <wp:inline distT="0" distB="0" distL="114935" distR="114935">
            <wp:extent cx="5066665" cy="319024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Погрешность приближенного решения с точным равна 10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-15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Итоговая таблица</w:t>
      </w:r>
    </w:p>
    <w:tbl>
      <w:tblPr>
        <w:tblStyle w:val="TableGrid"/>
        <w:tblW w:w="7815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2475"/>
        <w:gridCol w:w="3435"/>
        <w:gridCol w:w="1905"/>
      </w:tblGrid>
      <w:tr>
        <w:trPr>
          <w:trHeight w:val="300" w:hRule="atLeast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Метод решения</w:t>
            </w:r>
          </w:p>
        </w:tc>
        <w:tc>
          <w:tcPr>
            <w:tcW w:w="3435" w:type="dxa"/>
            <w:tcBorders>
              <w:top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Полученное решение</w:t>
            </w:r>
          </w:p>
        </w:tc>
        <w:tc>
          <w:tcPr>
            <w:tcW w:w="19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Погрешность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 Метод Гаусса</w:t>
            </w:r>
          </w:p>
        </w:tc>
        <w:tc>
          <w:tcPr>
            <w:tcW w:w="34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-0.9999999999999999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0.0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1.9999999999999996</w:t>
            </w:r>
          </w:p>
        </w:tc>
        <w:tc>
          <w:tcPr>
            <w:tcW w:w="1905" w:type="dxa"/>
            <w:tcBorders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vertAlign w:val="superscript"/>
              </w:rPr>
              <w:t>-16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2. Метод Зейделя</w:t>
            </w:r>
          </w:p>
        </w:tc>
        <w:tc>
          <w:tcPr>
            <w:tcW w:w="343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-1.0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vertAlign w:val="superscript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1.2769 * 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vertAlign w:val="superscript"/>
                <w:lang w:val="ru-RU"/>
              </w:rPr>
              <w:t>-16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1.9999999999999996</w:t>
            </w:r>
          </w:p>
        </w:tc>
        <w:tc>
          <w:tcPr>
            <w:tcW w:w="190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vertAlign w:val="superscript"/>
              </w:rPr>
              <w:t>-15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60"/>
        <w:ind w:left="-20" w:right="-2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Выводы: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метод Гаусса и метод Зейделя нашли одинаковое приближенное решение с почти одинаковой погрешностью. Метод Зейделя отличается простотой программирования, но метод Зейделя применим не ко всем матрицам, в случаях, когда условие сходимости не выполняется, матрицу необходимо преобразовывать.</w:t>
      </w:r>
    </w:p>
    <w:p>
      <w:pPr>
        <w:pStyle w:val="Normal"/>
        <w:spacing w:lineRule="auto" w:line="360" w:before="0" w:after="60"/>
        <w:ind w:left="-20" w:right="-20" w:firstLine="709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Все исходные тексты программ приводятся в Приложении.</w:t>
      </w:r>
    </w:p>
    <w:p>
      <w:pPr>
        <w:pStyle w:val="Normal"/>
        <w:spacing w:lineRule="auto" w:line="360" w:before="0" w:after="6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ПРИЛОЖЕНИЕ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Программа построения таблицы значений функции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Программы нахождения корня всеми способами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3387090" cy="701992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133975" cy="572452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3010535" cy="446722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3419475" cy="572452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4962525" cy="291465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9</Pages>
  <Words>336</Words>
  <Characters>2230</Characters>
  <CharactersWithSpaces>2523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2024-02-17T20:30:53Z</dcterms:created>
  <dc:creator>Никита Ушаков</dc:creator>
  <dc:description/>
  <dc:language>ru-RU</dc:language>
  <cp:lastModifiedBy/>
  <dcterms:modified xsi:type="dcterms:W3CDTF">2024-03-12T23:01:18Z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