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ОТЧЁТ</w:t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ПО ЛАБОРАТОРНОЙ РАБОТЕ № 7</w:t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 xml:space="preserve">Квазилинейное уравнение переноса </w:t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(Вариант 15)</w:t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widowControl/>
        <w:spacing w:lineRule="auto" w:line="240" w:before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Выполнил студент 3 курса ПМ</w:t>
      </w:r>
    </w:p>
    <w:p>
      <w:pPr>
        <w:pStyle w:val="Normal"/>
        <w:widowControl/>
        <w:spacing w:lineRule="auto" w:line="240" w:before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Ушаков Никита</w:t>
      </w:r>
    </w:p>
    <w:p>
      <w:pPr>
        <w:pStyle w:val="Normal"/>
        <w:widowControl/>
        <w:spacing w:lineRule="auto" w:line="240" w:before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widowControl/>
        <w:spacing w:lineRule="auto" w:line="276" w:before="0" w:after="20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ru-RU"/>
        </w:rPr>
        <w:t>Задача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: усвоить сущность и методы решения </w:t>
      </w:r>
      <w:r>
        <w:rPr>
          <w:rFonts w:eastAsia="Times New Roman" w:ascii="Times New Roman" w:hAnsi="Times New Roman"/>
          <w:b/>
          <w:bCs/>
          <w:i/>
          <w:iCs/>
          <w:sz w:val="24"/>
          <w:szCs w:val="24"/>
          <w:lang w:eastAsia="ru-RU"/>
        </w:rPr>
        <w:t>квази</w:t>
      </w:r>
      <w:r>
        <w:rPr>
          <w:rFonts w:eastAsia="Times New Roman" w:ascii="Times New Roman" w:hAnsi="Times New Roman"/>
          <w:b/>
          <w:i/>
          <w:sz w:val="24"/>
          <w:szCs w:val="24"/>
          <w:lang w:eastAsia="ru-RU"/>
        </w:rPr>
        <w:t>линейного дифференциального уравнения 1-го порядка в частных производных с разрывными начальными условиями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>
        <w:rPr>
          <w:rFonts w:eastAsia="Times New Roman" w:ascii="Times New Roman" w:hAnsi="Times New Roman"/>
          <w:i/>
          <w:iCs/>
          <w:sz w:val="24"/>
          <w:szCs w:val="24"/>
          <w:lang w:val="en-US" w:eastAsia="ru-RU"/>
        </w:rPr>
        <w:t>U</w:t>
      </w:r>
      <w:r>
        <w:rPr>
          <w:rFonts w:eastAsia="Times New Roman" w:ascii="Times New Roman" w:hAnsi="Times New Roman"/>
          <w:i/>
          <w:iCs/>
          <w:sz w:val="24"/>
          <w:szCs w:val="24"/>
          <w:vertAlign w:val="subscript"/>
          <w:lang w:eastAsia="ru-RU"/>
        </w:rPr>
        <w:t>i</w:t>
      </w:r>
      <w:r>
        <w:rPr>
          <w:rFonts w:eastAsia="Times New Roman" w:ascii="Times New Roman" w:hAnsi="Times New Roman"/>
          <w:i/>
          <w:iCs/>
          <w:sz w:val="24"/>
          <w:szCs w:val="24"/>
          <w:vertAlign w:val="subscript"/>
          <w:lang w:val="en-US" w:eastAsia="ru-RU"/>
        </w:rPr>
        <w:t>j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искомой функции </w:t>
      </w:r>
      <w:r>
        <w:rPr>
          <w:rFonts w:eastAsia="Times New Roman" w:ascii="Times New Roman" w:hAnsi="Times New Roman"/>
          <w:i/>
          <w:iCs/>
          <w:sz w:val="24"/>
          <w:szCs w:val="24"/>
          <w:lang w:val="en-US" w:eastAsia="ru-RU"/>
        </w:rPr>
        <w:t>U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(</w:t>
      </w:r>
      <w:r>
        <w:rPr>
          <w:rFonts w:eastAsia="Times New Roman" w:ascii="Times New Roman" w:hAnsi="Times New Roman"/>
          <w:i/>
          <w:sz w:val="24"/>
          <w:szCs w:val="24"/>
          <w:lang w:val="en-US" w:eastAsia="ru-RU"/>
        </w:rPr>
        <w:t>t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>,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x)</w:t>
      </w:r>
      <w:r>
        <w:rPr>
          <w:rFonts w:eastAsia="Times New Roman" w:ascii="Times New Roman" w:hAnsi="Times New Roman"/>
          <w:iCs/>
          <w:sz w:val="24"/>
          <w:szCs w:val="24"/>
          <w:lang w:eastAsia="ru-RU"/>
        </w:rPr>
        <w:t xml:space="preserve"> с заданной точностью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для некоторых значений аргументов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x</w:t>
      </w:r>
      <w:r>
        <w:rPr>
          <w:rFonts w:eastAsia="Times New Roman" w:ascii="Times New Roman" w:hAnsi="Times New Roman"/>
          <w:i/>
          <w:iCs/>
          <w:sz w:val="24"/>
          <w:szCs w:val="24"/>
          <w:vertAlign w:val="subscript"/>
          <w:lang w:val="en-US" w:eastAsia="ru-RU"/>
        </w:rPr>
        <w:t>j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 xml:space="preserve"> </w:t>
      </w:r>
      <w:r>
        <w:rPr>
          <w:rFonts w:eastAsia="Symbol" w:cs="Symbol" w:ascii="Symbol" w:hAnsi="Symbol"/>
          <w:i/>
          <w:iCs/>
          <w:sz w:val="24"/>
          <w:szCs w:val="24"/>
          <w:lang w:eastAsia="ru-RU"/>
        </w:rPr>
        <w:t>Î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[</w:t>
      </w:r>
      <w:r>
        <w:rPr>
          <w:rFonts w:eastAsia="Times New Roman" w:ascii="Times New Roman" w:hAnsi="Times New Roman"/>
          <w:i/>
          <w:sz w:val="24"/>
          <w:szCs w:val="24"/>
          <w:lang w:val="en-US" w:eastAsia="ru-RU"/>
        </w:rPr>
        <w:t>a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, 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>b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],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i/>
          <w:iCs/>
          <w:sz w:val="24"/>
          <w:szCs w:val="24"/>
          <w:lang w:val="en-US" w:eastAsia="ru-RU"/>
        </w:rPr>
        <w:t>t</w:t>
      </w:r>
      <w:r>
        <w:rPr>
          <w:rFonts w:eastAsia="Times New Roman" w:ascii="Times New Roman" w:hAnsi="Times New Roman"/>
          <w:i/>
          <w:iCs/>
          <w:sz w:val="24"/>
          <w:szCs w:val="24"/>
          <w:vertAlign w:val="subscript"/>
          <w:lang w:val="en-US" w:eastAsia="ru-RU"/>
        </w:rPr>
        <w:t>i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 xml:space="preserve"> </w:t>
      </w:r>
      <w:r>
        <w:rPr>
          <w:rFonts w:eastAsia="Symbol" w:cs="Symbol" w:ascii="Symbol" w:hAnsi="Symbol"/>
          <w:i/>
          <w:iCs/>
          <w:sz w:val="24"/>
          <w:szCs w:val="24"/>
          <w:lang w:eastAsia="ru-RU"/>
        </w:rPr>
        <w:t>Î</w:t>
      </w:r>
      <w:r>
        <w:rPr>
          <w:rFonts w:eastAsia="Times New Roman" w:ascii="Times New Roman" w:hAnsi="Times New Roman"/>
          <w:i/>
          <w:iCs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[</w:t>
      </w:r>
      <w:r>
        <w:rPr>
          <w:rFonts w:eastAsia="Times New Roman" w:ascii="Times New Roman" w:hAnsi="Times New Roman"/>
          <w:i/>
          <w:sz w:val="24"/>
          <w:szCs w:val="24"/>
          <w:lang w:val="en-US" w:eastAsia="ru-RU"/>
        </w:rPr>
        <w:t>c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,</w:t>
      </w:r>
      <w:r>
        <w:rPr>
          <w:rFonts w:eastAsia="Times New Roman" w:ascii="Times New Roman" w:hAnsi="Times New Roman"/>
          <w:i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i/>
          <w:sz w:val="24"/>
          <w:szCs w:val="24"/>
          <w:lang w:val="en-US" w:eastAsia="ru-RU"/>
        </w:rPr>
        <w:t>d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Численное решение таких дифференциальных уравнений возможно методами конечных разностей.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333333"/>
          <w:sz w:val="24"/>
          <w:szCs w:val="24"/>
          <w:lang w:eastAsia="ru-RU"/>
        </w:rPr>
        <w:t xml:space="preserve">Погрешность решения, найденного этими методами, оценивается величиной </w:t>
      </w:r>
      <w:r>
        <w:rPr>
          <w:rFonts w:eastAsia="Times New Roman" w:ascii="Times New Roman" w:hAnsi="Times New Roman"/>
          <w:color w:val="333333"/>
          <w:sz w:val="24"/>
          <w:szCs w:val="24"/>
          <w:lang w:val="en-US" w:eastAsia="ru-RU"/>
        </w:rPr>
        <w:t>O</w:t>
      </w:r>
      <w:r>
        <w:rPr>
          <w:rFonts w:eastAsia="Times New Roman" w:ascii="Times New Roman" w:hAnsi="Times New Roman"/>
          <w:color w:val="333333"/>
          <w:sz w:val="24"/>
          <w:szCs w:val="24"/>
          <w:lang w:eastAsia="ru-RU"/>
        </w:rPr>
        <w:t>(</w:t>
      </w:r>
      <w:r>
        <w:rPr>
          <w:rFonts w:eastAsia="Symbol" w:cs="Symbol" w:ascii="Symbol" w:hAnsi="Symbol"/>
          <w:i/>
          <w:color w:val="333333"/>
          <w:sz w:val="24"/>
          <w:szCs w:val="24"/>
          <w:lang w:eastAsia="ru-RU"/>
        </w:rPr>
        <w:t>t</w:t>
      </w:r>
      <w:r>
        <w:rPr>
          <w:rFonts w:eastAsia="Times New Roman" w:ascii="Times New Roman" w:hAnsi="Times New Roman"/>
          <w:i/>
          <w:color w:val="333333"/>
          <w:sz w:val="24"/>
          <w:szCs w:val="24"/>
          <w:vertAlign w:val="superscript"/>
          <w:lang w:val="en-US" w:eastAsia="ru-RU"/>
        </w:rPr>
        <w:t>p</w:t>
      </w:r>
      <w:r>
        <w:rPr>
          <w:rFonts w:eastAsia="Times New Roman" w:ascii="Times New Roman" w:hAnsi="Times New Roman"/>
          <w:i/>
          <w:iCs/>
          <w:color w:val="333333"/>
          <w:sz w:val="24"/>
          <w:szCs w:val="24"/>
          <w:lang w:eastAsia="ru-RU"/>
        </w:rPr>
        <w:t>,h</w:t>
      </w:r>
      <w:r>
        <w:rPr>
          <w:rFonts w:eastAsia="Times New Roman" w:ascii="Times New Roman" w:hAnsi="Times New Roman"/>
          <w:i/>
          <w:iCs/>
          <w:color w:val="333333"/>
          <w:sz w:val="24"/>
          <w:szCs w:val="24"/>
          <w:vertAlign w:val="superscript"/>
          <w:lang w:val="en-US" w:eastAsia="ru-RU"/>
        </w:rPr>
        <w:t>q</w:t>
      </w:r>
      <w:r>
        <w:rPr>
          <w:rFonts w:eastAsia="Times New Roman" w:ascii="Times New Roman" w:hAnsi="Times New Roman"/>
          <w:iCs/>
          <w:color w:val="333333"/>
          <w:sz w:val="24"/>
          <w:szCs w:val="24"/>
          <w:lang w:eastAsia="ru-RU"/>
        </w:rPr>
        <w:t>)</w:t>
      </w:r>
      <w:r>
        <w:rPr>
          <w:rFonts w:eastAsia="Times New Roman" w:ascii="Times New Roman" w:hAnsi="Times New Roman"/>
          <w:i/>
          <w:iCs/>
          <w:color w:val="333333"/>
          <w:sz w:val="24"/>
          <w:szCs w:val="24"/>
          <w:lang w:eastAsia="ru-RU"/>
        </w:rPr>
        <w:t>,</w:t>
      </w:r>
      <w:r>
        <w:rPr>
          <w:rFonts w:eastAsia="Times New Roman" w:ascii="Times New Roman" w:hAnsi="Times New Roman"/>
          <w:color w:val="333333"/>
          <w:sz w:val="24"/>
          <w:szCs w:val="24"/>
          <w:lang w:eastAsia="ru-RU"/>
        </w:rPr>
        <w:t xml:space="preserve"> где </w:t>
      </w:r>
      <w:r>
        <w:rPr>
          <w:rFonts w:eastAsia="Times New Roman" w:ascii="Times New Roman" w:hAnsi="Times New Roman"/>
          <w:i/>
          <w:color w:val="333333"/>
          <w:sz w:val="24"/>
          <w:szCs w:val="24"/>
          <w:lang w:val="en-US" w:eastAsia="ru-RU"/>
        </w:rPr>
        <w:t>p</w:t>
      </w:r>
      <w:r>
        <w:rPr>
          <w:rFonts w:eastAsia="Times New Roman" w:ascii="Times New Roman" w:hAnsi="Times New Roman"/>
          <w:color w:val="333333"/>
          <w:sz w:val="24"/>
          <w:szCs w:val="24"/>
          <w:lang w:eastAsia="ru-RU"/>
        </w:rPr>
        <w:t xml:space="preserve">, </w:t>
      </w:r>
      <w:r>
        <w:rPr>
          <w:rFonts w:eastAsia="Times New Roman" w:ascii="Times New Roman" w:hAnsi="Times New Roman"/>
          <w:i/>
          <w:color w:val="333333"/>
          <w:sz w:val="24"/>
          <w:szCs w:val="24"/>
          <w:lang w:val="en-US" w:eastAsia="ru-RU"/>
        </w:rPr>
        <w:t>q</w:t>
      </w:r>
      <w:r>
        <w:rPr>
          <w:rFonts w:eastAsia="Times New Roman" w:ascii="Times New Roman" w:hAnsi="Times New Roman"/>
          <w:color w:val="333333"/>
          <w:sz w:val="24"/>
          <w:szCs w:val="24"/>
          <w:lang w:eastAsia="ru-RU"/>
        </w:rPr>
        <w:t xml:space="preserve">  - порядок метода.</w:t>
      </w:r>
    </w:p>
    <w:p>
      <w:pPr>
        <w:pStyle w:val="Normal"/>
        <w:spacing w:lineRule="auto" w:line="240" w:before="0" w:after="0"/>
        <w:ind w:firstLine="400"/>
        <w:jc w:val="both"/>
        <w:rPr>
          <w:rFonts w:ascii="Times New Roman" w:hAnsi="Times New Roman" w:eastAsia="Times New Roman"/>
          <w:b/>
          <w:b/>
          <w:i/>
          <w:i/>
          <w:color w:val="333333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333333"/>
          <w:sz w:val="24"/>
          <w:szCs w:val="24"/>
          <w:lang w:eastAsia="ru-RU"/>
        </w:rPr>
        <w:t>Задание.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333333"/>
          <w:sz w:val="24"/>
          <w:szCs w:val="24"/>
          <w:lang w:eastAsia="ru-RU"/>
        </w:rPr>
        <w:t>Решить уравнение переноса</w:t>
      </w:r>
    </w:p>
    <w:p>
      <w:pPr>
        <w:pStyle w:val="Normal"/>
        <w:spacing w:lineRule="auto" w:line="240"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333333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trike/>
          <w:color w:val="333333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333333"/>
          <w:sz w:val="24"/>
          <w:szCs w:val="24"/>
          <w:lang w:eastAsia="ru-RU"/>
        </w:rPr>
        <w:t>методом с искусственной вязкостью и консервативной схемы.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i/>
          <w:i/>
          <w:sz w:val="26"/>
          <w:szCs w:val="26"/>
          <w:lang w:eastAsia="ru-RU"/>
        </w:rPr>
      </w:pPr>
      <w:r>
        <w:rPr>
          <w:rFonts w:eastAsia="Times New Roman" w:ascii="Times New Roman" w:hAnsi="Times New Roman"/>
          <w:b/>
          <w:bCs/>
          <w:i/>
          <w:sz w:val="26"/>
          <w:szCs w:val="26"/>
          <w:lang w:eastAsia="ru-RU"/>
        </w:rPr>
        <w:t>Варианты задания (лабораторная №7)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  <w:t>Для всех вариантов [</w:t>
      </w:r>
      <w:r>
        <w:rPr>
          <w:rFonts w:eastAsia="Times New Roman" w:ascii="Times New Roman" w:hAnsi="Times New Roman"/>
          <w:i/>
          <w:iCs/>
          <w:sz w:val="26"/>
          <w:szCs w:val="26"/>
          <w:lang w:eastAsia="ru-RU"/>
        </w:rPr>
        <w:t>a</w:t>
      </w:r>
      <w:r>
        <w:rPr>
          <w:rFonts w:eastAsia="Times New Roman" w:ascii="Times New Roman" w:hAnsi="Times New Roman"/>
          <w:sz w:val="26"/>
          <w:szCs w:val="26"/>
          <w:lang w:eastAsia="ru-RU"/>
        </w:rPr>
        <w:t xml:space="preserve">, </w:t>
      </w:r>
      <w:r>
        <w:rPr>
          <w:rFonts w:eastAsia="Times New Roman" w:ascii="Times New Roman" w:hAnsi="Times New Roman"/>
          <w:i/>
          <w:iCs/>
          <w:sz w:val="26"/>
          <w:szCs w:val="26"/>
          <w:lang w:eastAsia="ru-RU"/>
        </w:rPr>
        <w:t>b</w:t>
      </w:r>
      <w:r>
        <w:rPr>
          <w:rFonts w:eastAsia="Times New Roman" w:ascii="Times New Roman" w:hAnsi="Times New Roman"/>
          <w:sz w:val="26"/>
          <w:szCs w:val="26"/>
          <w:lang w:eastAsia="ru-RU"/>
        </w:rPr>
        <w:t>] = [0; 1], [</w:t>
      </w:r>
      <w:r>
        <w:rPr>
          <w:rFonts w:eastAsia="Times New Roman" w:ascii="Times New Roman" w:hAnsi="Times New Roman"/>
          <w:i/>
          <w:iCs/>
          <w:sz w:val="26"/>
          <w:szCs w:val="26"/>
          <w:lang w:val="en-US" w:eastAsia="ru-RU"/>
        </w:rPr>
        <w:t>c</w:t>
      </w:r>
      <w:r>
        <w:rPr>
          <w:rFonts w:eastAsia="Times New Roman" w:ascii="Times New Roman" w:hAnsi="Times New Roman"/>
          <w:sz w:val="26"/>
          <w:szCs w:val="26"/>
          <w:lang w:eastAsia="ru-RU"/>
        </w:rPr>
        <w:t xml:space="preserve">, </w:t>
      </w:r>
      <w:r>
        <w:rPr>
          <w:rFonts w:eastAsia="Times New Roman" w:ascii="Times New Roman" w:hAnsi="Times New Roman"/>
          <w:i/>
          <w:iCs/>
          <w:sz w:val="26"/>
          <w:szCs w:val="26"/>
          <w:lang w:val="en-US" w:eastAsia="ru-RU"/>
        </w:rPr>
        <w:t>d</w:t>
      </w:r>
      <w:r>
        <w:rPr>
          <w:rFonts w:eastAsia="Times New Roman" w:ascii="Times New Roman" w:hAnsi="Times New Roman"/>
          <w:sz w:val="26"/>
          <w:szCs w:val="26"/>
          <w:lang w:eastAsia="ru-RU"/>
        </w:rPr>
        <w:t>] = [0; 1]. Погрешность решения 0,01 (определяется сходимостью схемы и величиной шагов).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</w:p>
    <w:tbl>
      <w:tblPr>
        <w:tblStyle w:val="a3"/>
        <w:tblW w:w="70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5097"/>
      </w:tblGrid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 w:ascii="Times New Roman" w:hAnsi="Times New Roman"/>
                <w:sz w:val="26"/>
                <w:szCs w:val="26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sz w:val="26"/>
                <w:szCs w:val="26"/>
                <w:lang w:eastAsia="ru-RU"/>
              </w:rPr>
              <w:t>вариантов</w:t>
            </w:r>
          </w:p>
        </w:tc>
        <w:tc>
          <w:tcPr>
            <w:tcW w:w="509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 w:ascii="Times New Roman" w:hAnsi="Times New Roman"/>
                <w:sz w:val="26"/>
                <w:szCs w:val="26"/>
                <w:lang w:eastAsia="ru-RU"/>
              </w:rPr>
              <w:t>Начальное условие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6"/>
                <w:szCs w:val="26"/>
                <w:lang w:val="en-US" w:eastAsia="ru-RU"/>
              </w:rPr>
              <w:t>15</w:t>
            </w:r>
          </w:p>
        </w:tc>
        <w:tc>
          <w:tcPr>
            <w:tcW w:w="509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/>
            </w:r>
            <m:oMath xmlns:m="http://schemas.openxmlformats.org/officeDocument/2006/math">
              <m:d>
                <m:dPr>
                  <m:begChr m:val="{"/>
                  <m:endChr m:val="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≥</m:t>
                        </m:r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&lt;</m:t>
                        </m:r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b/>
          <w:bCs/>
          <w:i/>
          <w:i/>
          <w:iCs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bCs/>
          <w:i/>
          <w:iCs/>
          <w:sz w:val="32"/>
          <w:szCs w:val="32"/>
          <w:lang w:eastAsia="ru-RU"/>
        </w:rPr>
        <w:t>Решение:</w:t>
      </w:r>
    </w:p>
    <w:p>
      <w:pPr>
        <w:pStyle w:val="Normal"/>
        <w:pBdr/>
        <w:shd w:val="clear" w:color="auto" w:fill="FFFFFF" w:themeFill="background1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333333"/>
          <w:sz w:val="28"/>
          <w:szCs w:val="28"/>
          <w:lang w:val="ru"/>
        </w:rPr>
        <w:t>Метод с искусственной вязкостью:</w:t>
      </w:r>
    </w:p>
    <w:p>
      <w:pPr>
        <w:pStyle w:val="Normal"/>
        <w:pBdr/>
        <w:shd w:val="clear" w:color="auto" w:fill="FFFFFF" w:themeFill="background1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"/>
        </w:rPr>
        <w:t>Рассмотрим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"/>
        </w:rPr>
        <w:t xml:space="preserve"> уравнение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"/>
        </w:rPr>
        <w:t>в виде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f>
          <m:num>
            <m:r>
              <w:rPr>
                <w:rFonts w:ascii="Cambria Math" w:hAnsi="Cambria Math"/>
              </w:rPr>
              <m:t xml:space="preserve">∂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1"/>
        <w:pBdr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Одна из возможных схем: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  <m:oMath xmlns:m="http://schemas.openxmlformats.org/officeDocument/2006/math">
        <m:f>
          <m:num>
            <m:sSub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j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τ</m:t>
            </m:r>
          </m:den>
        </m:f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j</m:t>
            </m:r>
          </m:sup>
        </m:sSubSup>
        <m:f>
          <m:num>
            <m:sSub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j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j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d>
          <m:dPr>
            <m:begChr m:val="("/>
            <m:endChr m:val=")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τ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</w:p>
    <w:p>
      <w:pPr>
        <w:pStyle w:val="Normal1"/>
        <w:pBdr/>
        <w:shd w:val="clear" w:fill="FFFFFF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Условие устойчивости: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den>
        </m:f>
      </m:oMath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 </w:t>
      </w:r>
    </w:p>
    <w:p>
      <w:pPr>
        <w:pStyle w:val="Normal1"/>
        <w:pBdr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Пусть h = 0.01, тогда </w:t>
      </w:r>
      <w:r>
        <w:rPr>
          <w:rFonts w:eastAsia="Times New Roman" w:ascii="Times New Roman" w:hAnsi="Times New Roman"/>
          <w:sz w:val="26"/>
          <w:szCs w:val="26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sz w:val="26"/>
          <w:szCs w:val="26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 0.005. Возьмём </w:t>
      </w:r>
      <w:r>
        <w:rPr>
          <w:rFonts w:eastAsia="Times New Roman" w:ascii="Times New Roman" w:hAnsi="Times New Roman"/>
          <w:sz w:val="26"/>
          <w:szCs w:val="26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 = 0.001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>
        <w:rPr>
          <w:rFonts w:eastAsia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inline distT="0" distB="0" distL="114935" distR="114935">
            <wp:extent cx="3885565" cy="38004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pBdr/>
        <w:shd w:val="clear" w:color="auto" w:fill="FFFFFF" w:themeFill="background1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333333"/>
          <w:sz w:val="28"/>
          <w:szCs w:val="28"/>
          <w:lang w:val="ru"/>
        </w:rPr>
        <w:t>Консервативная схема</w:t>
      </w:r>
    </w:p>
    <w:p>
      <w:pPr>
        <w:pStyle w:val="Normal"/>
        <w:pBdr/>
        <w:shd w:val="clear" w:color="auto" w:fill="FFFFFF" w:themeFill="background1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z w:val="24"/>
          <w:szCs w:val="24"/>
          <w:lang w:val="ru"/>
        </w:rPr>
        <w:t>Воспользовавшись формулой прямоугольников, получим разностную сетку: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  <m:oMath xmlns:m="http://schemas.openxmlformats.org/officeDocument/2006/math">
        <m:f>
          <m:num>
            <m:sSub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j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τ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inline distT="0" distB="0" distL="114935" distR="114935">
            <wp:extent cx="3641725" cy="3327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ПРИЛОЖЕНИЕ</w:t>
      </w:r>
    </w:p>
    <w:p>
      <w:pPr>
        <w:pStyle w:val="Normal"/>
        <w:rPr/>
      </w:pPr>
      <w:r>
        <w:rPr/>
        <w:drawing>
          <wp:inline distT="0" distB="0" distL="114935" distR="114935">
            <wp:extent cx="5678805" cy="63055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5943600" cy="52197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revisionView w:insDel="0" w:formatting="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7b8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07b8b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07b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5</Pages>
  <Words>167</Words>
  <Characters>1106</Characters>
  <CharactersWithSpaces>1255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2021-05-21T20:02:00Z</dcterms:created>
  <dc:creator>Leonid Zinin</dc:creator>
  <dc:description/>
  <dc:language>ru-RU</dc:language>
  <cp:lastModifiedBy/>
  <dcterms:modified xsi:type="dcterms:W3CDTF">2024-04-12T14:28:31Z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