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rFonts w:ascii="Arial" w:cs="Arial" w:eastAsia="Arial" w:hAnsi="Arial"/>
          <w:b/>
          <w:bCs/>
          <w:color w:val="1A3C5E"/>
          <w:sz w:val="48"/>
          <w:szCs w:val="48"/>
        </w:rPr>
        <w:t xml:space="preserve">UTILITY PATENT APPLICATION</w:t>
      </w:r>
    </w:p>
    <w:p>
      <w:pPr>
        <w:spacing w:after="80" w:before="80"/>
      </w:pPr>
      <w:r>
        <w:rPr>
          <w:rFonts w:ascii="Arial" w:cs="Arial" w:eastAsia="Arial" w:hAnsi="Arial"/>
          <w:b/>
          <w:bCs/>
          <w:color w:val="C9A84C"/>
          <w:sz w:val="36"/>
          <w:szCs w:val="36"/>
        </w:rPr>
        <w:t xml:space="preserve">LUMINARK OVERWATCH PRIME ULTRA</w:t>
      </w:r>
    </w:p>
    <w:p>
      <w:pPr>
        <w:spacing w:after="200" w:before="40"/>
      </w:pPr>
      <w:r>
        <w:rPr>
          <w:rFonts w:ascii="Arial" w:cs="Arial" w:eastAsia="Arial" w:hAnsi="Arial"/>
          <w:i/>
          <w:iCs/>
          <w:color w:val="0D7377"/>
          <w:sz w:val="22"/>
          <w:szCs w:val="22"/>
        </w:rPr>
        <w:t xml:space="preserve">AMENDED SPECIFICATION — UPDATED DESCRIPTION OF THE INVENTION</w:t>
      </w:r>
    </w:p>
    <w:p>
      <w:pPr>
        <w:pBdr>
          <w:bottom w:val="single" w:color="0D7377" w:sz="4"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Inventor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Richard L. Stanfield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Organization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Meridian Axiom Alignment Technologies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Address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 Petersburg, Florida, United States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info.rstanfield@gmail.com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Document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March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Prior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LUMINARK OVERWATCH PRIME — Patent Specification (filed March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Amended Specification — Continuation/Addition of New Modules under 35 U.S.C. § 120</w:t>
            </w:r>
          </w:p>
        </w:tc>
      </w:tr>
    </w:tbl>
    <w:p>
      <w:pPr>
        <w:spacing w:after="80" w:before="240"/>
      </w:pPr>
      <w:r>
        <w:rPr>
          <w:rFonts w:ascii="Arial" w:cs="Arial" w:eastAsia="Arial" w:hAnsi="Arial"/>
          <w:b/>
          <w:bCs/>
          <w:color w:val="1A3C5E"/>
          <w:sz w:val="20"/>
          <w:szCs w:val="20"/>
        </w:rPr>
        <w:t xml:space="preserve">CONFIDENTIAL — PREPARED FOR PATENT COUNSEL REVIEW</w:t>
      </w:r>
    </w:p>
    <w:p>
      <w:pPr>
        <w:spacing w:after="140" w:before="80" w:line="276"/>
        <w:jc w:val="left"/>
      </w:pPr>
      <w:r>
        <w:rPr>
          <w:rFonts w:ascii="Arial" w:cs="Arial" w:eastAsia="Arial" w:hAnsi="Arial"/>
          <w:b w:val="false"/>
          <w:bCs w:val="false"/>
          <w:i w:val="false"/>
          <w:iCs w:val="false"/>
          <w:color w:val="1A1A1A"/>
          <w:sz w:val="20"/>
          <w:szCs w:val="20"/>
        </w:rPr>
        <w:t xml:space="preserve">This document constitutes an updated Specification (Description) for an Amended Utility Patent Application under 35 U.S.C. § 111(a) and § 120. It supplements and expands upon the prior LUMINARK OVERWATCH PRIME patent specification. The additions described herein reflect ten (10) new computational modules integrated into the engine since the original filing, each representing novel inventive subject matter. This document is prepared for review by a registered patent attorney or agent prior to formal amendment filing with the USPTO.</w:t>
      </w:r>
    </w:p>
    <w:p>
      <w:r>
        <w:br w:type="page"/>
      </w:r>
    </w:p>
    <w:p>
      <w:pPr>
        <w:pStyle w:val="Heading1"/>
        <w:spacing w:after="120" w:before="480"/>
      </w:pPr>
      <w:r>
        <w:rPr>
          <w:rFonts w:ascii="Arial" w:cs="Arial" w:eastAsia="Arial" w:hAnsi="Arial"/>
          <w:b/>
          <w:bCs/>
          <w:color w:val="1A3C5E"/>
          <w:sz w:val="36"/>
          <w:szCs w:val="36"/>
        </w:rPr>
        <w:t xml:space="preserve">1. TITLE OF THE INVENTION</w:t>
      </w:r>
    </w:p>
    <w:p>
      <w:pPr>
        <w:spacing w:after="80" w:before="80"/>
      </w:pPr>
      <w:r>
        <w:rPr>
          <w:rFonts w:ascii="Arial" w:cs="Arial" w:eastAsia="Arial" w:hAnsi="Arial"/>
          <w:b/>
          <w:bCs/>
          <w:color w:val="1A3C5E"/>
          <w:sz w:val="22"/>
          <w:szCs w:val="22"/>
        </w:rPr>
        <w:t xml:space="preserve">SYSTEM AND METHOD FOR MULTI-DIMENSIONAL PREDICTIVE HEALTH STAGING, FAILURE TRAJECTORY CLASSIFICATION, BIO-SENSORY FUSION ANALYSIS, CYBER-PHYSICAL THREAT ASSESSMENT, AND CONTAINER RULE DIGITAL STAGING IN COMPLEX ENGINEERING, INFRASTRUCTURE, AND ORGANIZATIONAL SYSTEMS</w:t>
      </w:r>
    </w:p>
    <w:p>
      <w:pPr>
        <w:spacing w:after="140" w:before="80" w:line="276"/>
        <w:jc w:val="left"/>
      </w:pPr>
      <w:r>
        <w:rPr>
          <w:rFonts w:ascii="Arial" w:cs="Arial" w:eastAsia="Arial" w:hAnsi="Arial"/>
          <w:b w:val="false"/>
          <w:bCs w:val="false"/>
          <w:i/>
          <w:iCs/>
          <w:color w:val="1A1A1A"/>
          <w:sz w:val="20"/>
          <w:szCs w:val="20"/>
        </w:rPr>
        <w:t xml:space="preserve">Common Reference Name: LUMINARK OVERWATCH PRIME ULTRA</w:t>
      </w:r>
    </w:p>
    <w:p>
      <w:pPr>
        <w:pBdr>
          <w:bottom w:val="single" w:color="0D7377" w:sz="4" w:space="1"/>
        </w:pBdr>
        <w:spacing w:after="160" w:before="80"/>
      </w:pPr>
    </w:p>
    <w:p>
      <w:pPr>
        <w:pStyle w:val="Heading1"/>
        <w:spacing w:after="120" w:before="480"/>
      </w:pPr>
      <w:r>
        <w:rPr>
          <w:rFonts w:ascii="Arial" w:cs="Arial" w:eastAsia="Arial" w:hAnsi="Arial"/>
          <w:b/>
          <w:bCs/>
          <w:color w:val="1A3C5E"/>
          <w:sz w:val="36"/>
          <w:szCs w:val="36"/>
        </w:rPr>
        <w:t xml:space="preserve">2. BACKGROUND OF THE INVENTION</w:t>
      </w:r>
    </w:p>
    <w:p>
      <w:pPr>
        <w:pStyle w:val="Heading2"/>
        <w:spacing w:after="120" w:before="300"/>
      </w:pPr>
      <w:r>
        <w:rPr>
          <w:rFonts w:ascii="Arial" w:cs="Arial" w:eastAsia="Arial" w:hAnsi="Arial"/>
          <w:b/>
          <w:bCs/>
          <w:color w:val="1A3C5E"/>
          <w:sz w:val="28"/>
          <w:szCs w:val="28"/>
        </w:rPr>
        <w:t xml:space="preserve">2.1 Field of the Invention</w:t>
      </w:r>
    </w:p>
    <w:p>
      <w:pPr>
        <w:spacing w:after="140" w:before="80" w:line="276"/>
        <w:jc w:val="left"/>
      </w:pPr>
      <w:r>
        <w:rPr>
          <w:rFonts w:ascii="Arial" w:cs="Arial" w:eastAsia="Arial" w:hAnsi="Arial"/>
          <w:b w:val="false"/>
          <w:bCs w:val="false"/>
          <w:i w:val="false"/>
          <w:iCs w:val="false"/>
          <w:color w:val="1A1A1A"/>
          <w:sz w:val="20"/>
          <w:szCs w:val="20"/>
        </w:rPr>
        <w:t xml:space="preserve">The present invention, as amended, extends the multi-dimensional predictive system health intelligence engine described in the prior specification to encompass ten additional computational modules. The amended invention relates to: (a) bio-inspired multi-species sensory fusion for environmental signal integration; (b) cyber-physical threat assessment using a seven-stage Cyber Kill Chain framework mapped to the SAP staging model; (c) physiological state modeling of infrastructure systems using polyvagal autonomic theory; (d) physics-based velocity and momentum computation for stage trajectory quantification; and (e) a Container Rule digital mapping engine that derives SAP stage assignments from the mathematical properties of system entity identifiers. These additions significantly expand the detection, classification, and prediction capabilities of the base invention.</w:t>
      </w:r>
    </w:p>
    <w:p>
      <w:pPr>
        <w:pStyle w:val="Heading2"/>
        <w:spacing w:after="120" w:before="300"/>
      </w:pPr>
      <w:r>
        <w:rPr>
          <w:rFonts w:ascii="Arial" w:cs="Arial" w:eastAsia="Arial" w:hAnsi="Arial"/>
          <w:b/>
          <w:bCs/>
          <w:color w:val="1A3C5E"/>
          <w:sz w:val="28"/>
          <w:szCs w:val="28"/>
        </w:rPr>
        <w:t xml:space="preserve">2.2 Deficiencies Addressed by New Modules</w:t>
      </w:r>
    </w:p>
    <w:p>
      <w:pPr>
        <w:spacing w:after="140" w:before="80" w:line="276"/>
        <w:jc w:val="left"/>
      </w:pPr>
      <w:r>
        <w:rPr>
          <w:rFonts w:ascii="Arial" w:cs="Arial" w:eastAsia="Arial" w:hAnsi="Arial"/>
          <w:b w:val="false"/>
          <w:bCs w:val="false"/>
          <w:i w:val="false"/>
          <w:iCs w:val="false"/>
          <w:color w:val="1A1A1A"/>
          <w:sz w:val="20"/>
          <w:szCs w:val="20"/>
        </w:rPr>
        <w:t xml:space="preserve">The prior specification addressed threshold-based monitoring, domain specificity, point-in-time diagnostics, and lack of failure-type characterization. The present amendments address four additional deficiencies not covered by the original filing:</w:t>
      </w:r>
    </w:p>
    <w:p>
      <w:pPr>
        <w:spacing w:after="140" w:before="80" w:line="276"/>
        <w:jc w:val="left"/>
      </w:pPr>
      <w:r>
        <w:rPr>
          <w:rFonts w:ascii="Arial" w:cs="Arial" w:eastAsia="Arial" w:hAnsi="Arial"/>
          <w:b w:val="false"/>
          <w:bCs w:val="false"/>
          <w:i w:val="false"/>
          <w:iCs w:val="false"/>
          <w:color w:val="1A1A1A"/>
          <w:sz w:val="20"/>
          <w:szCs w:val="20"/>
        </w:rPr>
        <w:t xml:space="preserve">First, conventional infrastructure monitoring systems lack the capacity to integrate signals from disparate physical sensor modalities — thermal, chemical, vibrational, electromagnetic — into a unified health vector without explicit sensor fusion logic tuned to each deployment environment. The BioSensoryFusion module addresses this by applying multi-species bio-inspired integration patterns that generalize across sensor types without domain-specific calibration.</w:t>
      </w:r>
    </w:p>
    <w:p>
      <w:pPr>
        <w:spacing w:after="140" w:before="80" w:line="276"/>
        <w:jc w:val="left"/>
      </w:pPr>
      <w:r>
        <w:rPr>
          <w:rFonts w:ascii="Arial" w:cs="Arial" w:eastAsia="Arial" w:hAnsi="Arial"/>
          <w:b w:val="false"/>
          <w:bCs w:val="false"/>
          <w:i w:val="false"/>
          <w:iCs w:val="false"/>
          <w:color w:val="1A1A1A"/>
          <w:sz w:val="20"/>
          <w:szCs w:val="20"/>
        </w:rPr>
        <w:t xml:space="preserve">Second, no existing commercial monitoring platform performs real-time cyber-physical kill chain stage mapping that connects network intrusion progression directly to infrastructure health degradation on the same scale as physical failure modes. The RISSCalculator module addresses this by mapping the seven-stage Cyber Kill Chain to the SAP framework, enabling cyber and physical threat vectors to be classified and compared on a unified scale.</w:t>
      </w:r>
    </w:p>
    <w:p>
      <w:pPr>
        <w:spacing w:after="140" w:before="80" w:line="276"/>
        <w:jc w:val="left"/>
      </w:pPr>
      <w:r>
        <w:rPr>
          <w:rFonts w:ascii="Arial" w:cs="Arial" w:eastAsia="Arial" w:hAnsi="Arial"/>
          <w:b w:val="false"/>
          <w:bCs w:val="false"/>
          <w:i w:val="false"/>
          <w:iCs w:val="false"/>
          <w:color w:val="1A1A1A"/>
          <w:sz w:val="20"/>
          <w:szCs w:val="20"/>
        </w:rPr>
        <w:t xml:space="preserve">Third, existing systems do not apply polyvagal autonomic state theory — developed originally for human nervous system analysis — as an infrastructure health model. The PolyvagalState and InfraPhysiologicalMetrics modules address this by creating a novel mapping between autonomic response states (Ventral Vagal, Sympathetic, Dorsal Vagal) and infrastructure operational states.</w:t>
      </w:r>
    </w:p>
    <w:p>
      <w:pPr>
        <w:spacing w:after="140" w:before="80" w:line="276"/>
        <w:jc w:val="left"/>
      </w:pPr>
      <w:r>
        <w:rPr>
          <w:rFonts w:ascii="Arial" w:cs="Arial" w:eastAsia="Arial" w:hAnsi="Arial"/>
          <w:b w:val="false"/>
          <w:bCs w:val="false"/>
          <w:i w:val="false"/>
          <w:iCs w:val="false"/>
          <w:color w:val="1A1A1A"/>
          <w:sz w:val="20"/>
          <w:szCs w:val="20"/>
        </w:rPr>
        <w:t xml:space="preserve">Fourth, no existing system uses digital root mathematics applied to entity identifier arithmetic to derive stage assignments as a verification and cross-referencing mechanism. The InfraContainerRuleEngine addresses this gap.</w:t>
      </w:r>
    </w:p>
    <w:p>
      <w:r>
        <w:br w:type="page"/>
      </w:r>
    </w:p>
    <w:p>
      <w:pPr>
        <w:pStyle w:val="Heading1"/>
        <w:spacing w:after="120" w:before="480"/>
      </w:pPr>
      <w:r>
        <w:rPr>
          <w:rFonts w:ascii="Arial" w:cs="Arial" w:eastAsia="Arial" w:hAnsi="Arial"/>
          <w:b/>
          <w:bCs/>
          <w:color w:val="1A3C5E"/>
          <w:sz w:val="36"/>
          <w:szCs w:val="36"/>
        </w:rPr>
        <w:t xml:space="preserve">3. SUMMARY OF THE INVENTION — AMENDED</w:t>
      </w:r>
    </w:p>
    <w:p>
      <w:pPr>
        <w:spacing w:after="140" w:before="80" w:line="276"/>
        <w:jc w:val="left"/>
      </w:pPr>
      <w:r>
        <w:rPr>
          <w:rFonts w:ascii="Arial" w:cs="Arial" w:eastAsia="Arial" w:hAnsi="Arial"/>
          <w:b w:val="false"/>
          <w:bCs w:val="false"/>
          <w:i w:val="false"/>
          <w:iCs w:val="false"/>
          <w:color w:val="1A1A1A"/>
          <w:sz w:val="20"/>
          <w:szCs w:val="20"/>
        </w:rPr>
        <w:t xml:space="preserve">The amended invention, LUMINARK OVERWATCH PRIME ULTRA, is the original six-module multi-dimensional predictive system health intelligence engine as described in the prior specification, extended by ten (10) additional computational modules. The complete system now comprises sixteen (16) integrated modules operating on the proprietary ten-stage SAP framework. The ten new modules and their principal inventive contributions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NEW MODULE</w:t>
            </w:r>
          </w:p>
        </w:tc>
        <w:tc>
          <w:tcPr>
            <w:tcW w:type="dxa" w:w="6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PRINCIPAL INVENTIVE CONTRIBUTION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RISSCalculator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Maps seven-stage Cyber Kill Chain threat progression to SAP stages, enabling unified cyber-physical threat classification on a single scale.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BioSensoryFusion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Integrates outputs from three bio-inspired sensor modules (Mycelium, Octopus, Thermal) using species-specific integration weights to produce a unified environmental awareness vector.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MyceliumSensorySystem V4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Models distributed network-wide chemical and electrical gradient sensing using mycelial network topology principles to detect subsurface threat propagation.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OctopusSensorySystem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Applies chromatophore-pattern distributed sensing to detect localized anomalies across a network node array through adaptive camouflage inversion signals.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ThermalEnergySensing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Detects thermal energy concentration gradients and thermal signature anomalies across infrastructure nodes to identify heat-related failure precursors.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InfraPhysicsVelocityEngine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Computes stage momentum and velocity as physics-derived quantities — mass × velocity analog — to quantify the kinetic energy of stage transitions and predict transition overshoot.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PolyvagalState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Maps SAP stages to three polyvagal autonomic states — Ventral Vagal (safe), Sympathetic (mobilized/stressed), Dorsal Vagal (shutdown) — derived from human nervous system polyvagal theory.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InfraPhysiologicalMetrics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Applies a set of physiological health metrics (heart rate variability analog, cortisol analog, oxytocin analog, adrenaline analog) to infrastructure state assessment.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InfraContainerRuleEngine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Implements the Container Rule: derives SAP stage from the digital root of content digit plus container digit arithmetic, with Magnetic Drag, Pivot/Flip, Harmonic Resonance, and Dissolve threshold properties.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EthicalPrinciple (Ma'at)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Applies the seven principles of Ma'at (Truth, Justice, Harmony, Balance, Order, Propriety, Reciprocity) as an ethical compliance scoring overlay on infrastructure operational decisions.</w:t>
            </w:r>
          </w:p>
        </w:tc>
      </w:tr>
    </w:tbl>
    <w:p>
      <w:r>
        <w:br w:type="page"/>
      </w:r>
    </w:p>
    <w:p>
      <w:pPr>
        <w:pStyle w:val="Heading1"/>
        <w:spacing w:after="120" w:before="480"/>
      </w:pPr>
      <w:r>
        <w:rPr>
          <w:rFonts w:ascii="Arial" w:cs="Arial" w:eastAsia="Arial" w:hAnsi="Arial"/>
          <w:b/>
          <w:bCs/>
          <w:color w:val="1A3C5E"/>
          <w:sz w:val="36"/>
          <w:szCs w:val="36"/>
        </w:rPr>
        <w:t xml:space="preserve">4. DETAILED DESCRIPTION — NEW MODULES</w:t>
      </w:r>
    </w:p>
    <w:p>
      <w:pPr>
        <w:spacing w:after="140" w:before="80" w:line="276"/>
        <w:jc w:val="left"/>
      </w:pPr>
      <w:r>
        <w:rPr>
          <w:rFonts w:ascii="Arial" w:cs="Arial" w:eastAsia="Arial" w:hAnsi="Arial"/>
          <w:b w:val="false"/>
          <w:bCs w:val="false"/>
          <w:i w:val="false"/>
          <w:iCs w:val="false"/>
          <w:color w:val="1A1A1A"/>
          <w:sz w:val="20"/>
          <w:szCs w:val="20"/>
        </w:rPr>
        <w:t xml:space="preserve">Sections 4.1 through 4.6 of the prior specification describing the NSDT, TrapScore Engine, Temporal State Engine, Bio-Defense Alert System, Consensus Engine, and Spherical Fractal Topology remain in full force. The following sections describe the ten additional modules introduced in this amended specification.</w:t>
      </w:r>
    </w:p>
    <w:p>
      <w:pPr>
        <w:pStyle w:val="Heading2"/>
        <w:spacing w:after="120" w:before="300"/>
      </w:pPr>
      <w:r>
        <w:rPr>
          <w:rFonts w:ascii="Arial" w:cs="Arial" w:eastAsia="Arial" w:hAnsi="Arial"/>
          <w:b/>
          <w:bCs/>
          <w:color w:val="1A3C5E"/>
          <w:sz w:val="28"/>
          <w:szCs w:val="28"/>
        </w:rPr>
        <w:t xml:space="preserve">4.7 RISSCalculator — Cyber Kill Chain Threat Assessment</w:t>
      </w:r>
    </w:p>
    <w:p>
      <w:pPr>
        <w:spacing w:after="140" w:before="80" w:line="276"/>
        <w:jc w:val="left"/>
      </w:pPr>
      <w:r>
        <w:rPr>
          <w:rFonts w:ascii="Arial" w:cs="Arial" w:eastAsia="Arial" w:hAnsi="Arial"/>
          <w:b w:val="false"/>
          <w:bCs w:val="false"/>
          <w:i w:val="false"/>
          <w:iCs w:val="false"/>
          <w:color w:val="1A1A1A"/>
          <w:sz w:val="20"/>
          <w:szCs w:val="20"/>
        </w:rPr>
        <w:t xml:space="preserve">The RISSCalculator (Reconnaissance and Intrusion Stage Score Calculator) is a seven-stage threat progression classifier that maps the industry-standard Cyber Kill Chain framework onto the SAP ten-stage model. The Cyber Kill Chain stages — RECON, WEAPONIZATION, DELIVERY, EXPLOITATION, INSTALLATION, COMMAND_CONTROL, and IMPACT — are assigned SAP stage equivalents as follows: RECON maps to Stage 2 (early warning, minimal footprint); WEAPONIZATION to Stage 2; DELIVERY to Stage 3; EXPLOITATION to Stage 4; INSTALLATION to Stage 5 (attacker persistence established); COMMAND_CONTROL to Stage 6 (active lateral movement); IMPACT to Stage 8 (critical damage/exfiltration).</w:t>
      </w:r>
    </w:p>
    <w:p>
      <w:pPr>
        <w:spacing w:after="140" w:before="80" w:line="276"/>
        <w:jc w:val="left"/>
      </w:pPr>
      <w:r>
        <w:rPr>
          <w:rFonts w:ascii="Arial" w:cs="Arial" w:eastAsia="Arial" w:hAnsi="Arial"/>
          <w:b w:val="false"/>
          <w:bCs w:val="false"/>
          <w:i w:val="false"/>
          <w:iCs w:val="false"/>
          <w:color w:val="1A1A1A"/>
          <w:sz w:val="20"/>
          <w:szCs w:val="20"/>
        </w:rPr>
        <w:t xml:space="preserve">For each active threat type detected in the environment, the RISSCalculator computes a threat score, a velocity score (rate of stage progression), a resilience factor (inverse of adaptability dimension), and a TrapScore analog. A composite full_threat_assessment output produces a combined threat level that is mapped back to the NSDT stage assignment pipeline, enabling cyber threat progression to appear as a continuous signal in the standard Bio-Defense alert system without requiring a separate alert channel.</w:t>
      </w:r>
    </w:p>
    <w:p>
      <w:pPr>
        <w:spacing w:after="140" w:before="80" w:line="276"/>
        <w:jc w:val="left"/>
      </w:pPr>
      <w:r>
        <w:rPr>
          <w:rFonts w:ascii="Arial" w:cs="Arial" w:eastAsia="Arial" w:hAnsi="Arial"/>
          <w:b w:val="false"/>
          <w:bCs w:val="false"/>
          <w:i w:val="false"/>
          <w:iCs w:val="false"/>
          <w:color w:val="1A1A1A"/>
          <w:sz w:val="20"/>
          <w:szCs w:val="20"/>
        </w:rPr>
        <w:t xml:space="preserve">The inventive contribution of the RISSCalculator is the projection of the Cyber Kill Chain onto the SAP coordinate system, which enables heterogeneous cyber and physical threat signals to be combined in a single unified risk score. This is the first known implementation of a unified cyber-physical threat taxonomy on a normalized 0-9 stage scale.</w:t>
      </w:r>
    </w:p>
    <w:p>
      <w:pPr>
        <w:pStyle w:val="Heading2"/>
        <w:spacing w:after="120" w:before="300"/>
      </w:pPr>
      <w:r>
        <w:rPr>
          <w:rFonts w:ascii="Arial" w:cs="Arial" w:eastAsia="Arial" w:hAnsi="Arial"/>
          <w:b/>
          <w:bCs/>
          <w:color w:val="1A3C5E"/>
          <w:sz w:val="28"/>
          <w:szCs w:val="28"/>
        </w:rPr>
        <w:t xml:space="preserve">4.8 BioSensoryFusion — Multi-Species Sensory Integration</w:t>
      </w:r>
    </w:p>
    <w:p>
      <w:pPr>
        <w:spacing w:after="140" w:before="80" w:line="276"/>
        <w:jc w:val="left"/>
      </w:pPr>
      <w:r>
        <w:rPr>
          <w:rFonts w:ascii="Arial" w:cs="Arial" w:eastAsia="Arial" w:hAnsi="Arial"/>
          <w:b w:val="false"/>
          <w:bCs w:val="false"/>
          <w:i w:val="false"/>
          <w:iCs w:val="false"/>
          <w:color w:val="1A1A1A"/>
          <w:sz w:val="20"/>
          <w:szCs w:val="20"/>
        </w:rPr>
        <w:t xml:space="preserve">The BioSensoryFusion module integrates environmental awareness signals from three bio-inspired sensor subsystems — MyceliumSensorySystemV4, OctopusSensorySystem, and ThermalEnergySensing — using weighted fusion coefficients derived from the biological specialization of each model organism.</w:t>
      </w:r>
    </w:p>
    <w:p>
      <w:pPr>
        <w:spacing w:after="140" w:before="80" w:line="276"/>
        <w:jc w:val="left"/>
      </w:pPr>
      <w:r>
        <w:rPr>
          <w:rFonts w:ascii="Arial" w:cs="Arial" w:eastAsia="Arial" w:hAnsi="Arial"/>
          <w:b w:val="false"/>
          <w:bCs w:val="false"/>
          <w:i w:val="false"/>
          <w:iCs w:val="false"/>
          <w:color w:val="1A1A1A"/>
          <w:sz w:val="20"/>
          <w:szCs w:val="20"/>
        </w:rPr>
        <w:t xml:space="preserve">The integration weights are: Mycelium 0.4 (chemical gradient and distributed network sensing); Octopus 0.35 (adaptive pattern detection and localized anomaly resolution); Thermal 0.25 (energy concentration and gradient analysis). The sense_all() method of the BioSensoryFusion module accepts a network state dictionary and returns a single fused environmental awareness score expressed on the normalized 0-10 NSDT scale, compatible with the Complexity input dimension of the NSDT engine.</w:t>
      </w:r>
    </w:p>
    <w:p>
      <w:pPr>
        <w:spacing w:after="140" w:before="80" w:line="276"/>
        <w:jc w:val="left"/>
      </w:pPr>
      <w:r>
        <w:rPr>
          <w:rFonts w:ascii="Arial" w:cs="Arial" w:eastAsia="Arial" w:hAnsi="Arial"/>
          <w:b w:val="false"/>
          <w:bCs w:val="false"/>
          <w:i w:val="false"/>
          <w:iCs w:val="false"/>
          <w:color w:val="1A1A1A"/>
          <w:sz w:val="20"/>
          <w:szCs w:val="20"/>
        </w:rPr>
        <w:t xml:space="preserve">The inventive contribution of BioSensoryFusion is the application of multi-species biological sensing specialization as an integration architecture for heterogeneous environmental sensor arrays, without requiring explicit sensor calibration or domain-specific fusion rules.</w:t>
      </w:r>
    </w:p>
    <w:p>
      <w:pPr>
        <w:pStyle w:val="Heading2"/>
        <w:spacing w:after="120" w:before="300"/>
      </w:pPr>
      <w:r>
        <w:rPr>
          <w:rFonts w:ascii="Arial" w:cs="Arial" w:eastAsia="Arial" w:hAnsi="Arial"/>
          <w:b/>
          <w:bCs/>
          <w:color w:val="1A3C5E"/>
          <w:sz w:val="28"/>
          <w:szCs w:val="28"/>
        </w:rPr>
        <w:t xml:space="preserve">4.9 MyceliumSensorySystem V4 — Distributed Chemical Gradient Sensing</w:t>
      </w:r>
    </w:p>
    <w:p>
      <w:pPr>
        <w:spacing w:after="140" w:before="80" w:line="276"/>
        <w:jc w:val="left"/>
      </w:pPr>
      <w:r>
        <w:rPr>
          <w:rFonts w:ascii="Arial" w:cs="Arial" w:eastAsia="Arial" w:hAnsi="Arial"/>
          <w:b w:val="false"/>
          <w:bCs w:val="false"/>
          <w:i w:val="false"/>
          <w:iCs w:val="false"/>
          <w:color w:val="1A1A1A"/>
          <w:sz w:val="20"/>
          <w:szCs w:val="20"/>
        </w:rPr>
        <w:t xml:space="preserve">The MyceliumSensorySystemV4 module models the sensing behavior of mycelial networks, which propagate chemical and electrical gradient signals across a spatially distributed structure. In the infrastructure domain, the module treats each network node as a mycelium node and models the propagation of anomalous signals — elevated load, packet loss, voltage deviation — as chemical gradient concentrations that propagate across the network topology with time decay proportional to node connectivity.</w:t>
      </w:r>
    </w:p>
    <w:p>
      <w:pPr>
        <w:spacing w:after="140" w:before="80" w:line="276"/>
        <w:jc w:val="left"/>
      </w:pPr>
      <w:r>
        <w:rPr>
          <w:rFonts w:ascii="Arial" w:cs="Arial" w:eastAsia="Arial" w:hAnsi="Arial"/>
          <w:b w:val="false"/>
          <w:bCs w:val="false"/>
          <w:i w:val="false"/>
          <w:iCs w:val="false"/>
          <w:color w:val="1A1A1A"/>
          <w:sz w:val="20"/>
          <w:szCs w:val="20"/>
        </w:rPr>
        <w:t xml:space="preserve">The module produces a network-wide threat gradient score indicating the severity and spatial extent of developing anomalies, which is combined with scores from the OctopusSensory and ThermalEnergy modules in the BioSensoryFusion integration step.</w:t>
      </w:r>
    </w:p>
    <w:p>
      <w:pPr>
        <w:pStyle w:val="Heading2"/>
        <w:spacing w:after="120" w:before="300"/>
      </w:pPr>
      <w:r>
        <w:rPr>
          <w:rFonts w:ascii="Arial" w:cs="Arial" w:eastAsia="Arial" w:hAnsi="Arial"/>
          <w:b/>
          <w:bCs/>
          <w:color w:val="1A3C5E"/>
          <w:sz w:val="28"/>
          <w:szCs w:val="28"/>
        </w:rPr>
        <w:t xml:space="preserve">4.10 OctopusSensorySystem — Adaptive Pattern Detection</w:t>
      </w:r>
    </w:p>
    <w:p>
      <w:pPr>
        <w:spacing w:after="140" w:before="80" w:line="276"/>
        <w:jc w:val="left"/>
      </w:pPr>
      <w:r>
        <w:rPr>
          <w:rFonts w:ascii="Arial" w:cs="Arial" w:eastAsia="Arial" w:hAnsi="Arial"/>
          <w:b w:val="false"/>
          <w:bCs w:val="false"/>
          <w:i w:val="false"/>
          <w:iCs w:val="false"/>
          <w:color w:val="1A1A1A"/>
          <w:sz w:val="20"/>
          <w:szCs w:val="20"/>
        </w:rPr>
        <w:t xml:space="preserve">The OctopusSensorySystem module models the chromatophore-based distributed pattern sensing of Octopus vulgaris, which can independently activate thousands of skin pixels to produce complex spatial patterns. In the infrastructure domain, each monitored node is treated as a chromatophore cell. Anomalous node states — deviation beyond normal operating bounds — are treated as chromatophore activations. When the spatial pattern of activated nodes matches a known failure precursor pattern (stored as a pattern library), the module issues a pattern-match alert with a confidence score.</w:t>
      </w:r>
    </w:p>
    <w:p>
      <w:pPr>
        <w:spacing w:after="140" w:before="80" w:line="276"/>
        <w:jc w:val="left"/>
      </w:pPr>
      <w:r>
        <w:rPr>
          <w:rFonts w:ascii="Arial" w:cs="Arial" w:eastAsia="Arial" w:hAnsi="Arial"/>
          <w:b w:val="false"/>
          <w:bCs w:val="false"/>
          <w:i w:val="false"/>
          <w:iCs w:val="false"/>
          <w:color w:val="1A1A1A"/>
          <w:sz w:val="20"/>
          <w:szCs w:val="20"/>
        </w:rPr>
        <w:t xml:space="preserve">The inventive contribution is the application of chromatophore spatial pattern inversion as a distributed anomaly detection mechanism that identifies failure signatures by their spatial topology rather than by individual node threshold breaches.</w:t>
      </w:r>
    </w:p>
    <w:p>
      <w:pPr>
        <w:pStyle w:val="Heading2"/>
        <w:spacing w:after="120" w:before="300"/>
      </w:pPr>
      <w:r>
        <w:rPr>
          <w:rFonts w:ascii="Arial" w:cs="Arial" w:eastAsia="Arial" w:hAnsi="Arial"/>
          <w:b/>
          <w:bCs/>
          <w:color w:val="1A3C5E"/>
          <w:sz w:val="28"/>
          <w:szCs w:val="28"/>
        </w:rPr>
        <w:t xml:space="preserve">4.11 ThermalEnergySensing — Thermal Gradient Analysis</w:t>
      </w:r>
    </w:p>
    <w:p>
      <w:pPr>
        <w:spacing w:after="140" w:before="80" w:line="276"/>
        <w:jc w:val="left"/>
      </w:pPr>
      <w:r>
        <w:rPr>
          <w:rFonts w:ascii="Arial" w:cs="Arial" w:eastAsia="Arial" w:hAnsi="Arial"/>
          <w:b w:val="false"/>
          <w:bCs w:val="false"/>
          <w:i w:val="false"/>
          <w:iCs w:val="false"/>
          <w:color w:val="1A1A1A"/>
          <w:sz w:val="20"/>
          <w:szCs w:val="20"/>
        </w:rPr>
        <w:t xml:space="preserve">The ThermalEnergySensing module detects thermal energy concentration gradients across infrastructure nodes. Thermal signatures are known precursors of specific failure modes: concentrated thermal energy indicates active faults, thermal gradient reversal indicates coolant or ventilation failure, and diffuse thermal elevation indicates demand overload. The module computes a thermal anomaly score from the statistical distribution of node-level thermal readings and maps this score to an NSDT-compatible normalized value.</w:t>
      </w:r>
    </w:p>
    <w:p>
      <w:pPr>
        <w:pStyle w:val="Heading2"/>
        <w:spacing w:after="120" w:before="300"/>
      </w:pPr>
      <w:r>
        <w:rPr>
          <w:rFonts w:ascii="Arial" w:cs="Arial" w:eastAsia="Arial" w:hAnsi="Arial"/>
          <w:b/>
          <w:bCs/>
          <w:color w:val="1A3C5E"/>
          <w:sz w:val="28"/>
          <w:szCs w:val="28"/>
        </w:rPr>
        <w:t xml:space="preserve">4.12 InfraPhysicsVelocityEngine — Stage Momentum and Velocity</w:t>
      </w:r>
    </w:p>
    <w:p>
      <w:pPr>
        <w:spacing w:after="140" w:before="80" w:line="276"/>
        <w:jc w:val="left"/>
      </w:pPr>
      <w:r>
        <w:rPr>
          <w:rFonts w:ascii="Arial" w:cs="Arial" w:eastAsia="Arial" w:hAnsi="Arial"/>
          <w:b w:val="false"/>
          <w:bCs w:val="false"/>
          <w:i w:val="false"/>
          <w:iCs w:val="false"/>
          <w:color w:val="1A1A1A"/>
          <w:sz w:val="20"/>
          <w:szCs w:val="20"/>
        </w:rPr>
        <w:t xml:space="preserve">The InfraPhysicsVelocityEngine applies Newtonian mechanics concepts to stage transition analysis. The engine computes two primary quantities:</w:t>
      </w:r>
    </w:p>
    <w:p>
      <w:pPr>
        <w:spacing w:after="140" w:before="80" w:line="276"/>
        <w:jc w:val="left"/>
      </w:pPr>
      <w:r>
        <w:rPr>
          <w:rFonts w:ascii="Arial" w:cs="Arial" w:eastAsia="Arial" w:hAnsi="Arial"/>
          <w:b w:val="false"/>
          <w:bCs w:val="false"/>
          <w:i w:val="false"/>
          <w:iCs w:val="false"/>
          <w:color w:val="1A1A1A"/>
          <w:sz w:val="20"/>
          <w:szCs w:val="20"/>
        </w:rPr>
        <w:t xml:space="preserve">Stage Velocity: v = Δstage / Δtime — the rate of change of SAP stage assignment per unit time. A positive velocity indicates health improvement; a negative velocity indicates deterioration. Velocity magnitude indicates speed of transition.</w:t>
      </w:r>
    </w:p>
    <w:p>
      <w:pPr>
        <w:spacing w:after="140" w:before="80" w:line="276"/>
        <w:jc w:val="left"/>
      </w:pPr>
      <w:r>
        <w:rPr>
          <w:rFonts w:ascii="Arial" w:cs="Arial" w:eastAsia="Arial" w:hAnsi="Arial"/>
          <w:b w:val="false"/>
          <w:bCs w:val="false"/>
          <w:i w:val="false"/>
          <w:iCs w:val="false"/>
          <w:color w:val="1A1A1A"/>
          <w:sz w:val="20"/>
          <w:szCs w:val="20"/>
        </w:rPr>
        <w:t xml:space="preserve">Stage Momentum: p = m × v — where m is a mass analog representing the system's size and interconnectedness (derived from Complexity and Coherence dimensions), and v is stage velocity. High-momentum systems require proportionally larger interventions to redirect trajectory, analogous to the physics of large objects in motion.</w:t>
      </w:r>
    </w:p>
    <w:p>
      <w:pPr>
        <w:spacing w:after="140" w:before="80" w:line="276"/>
        <w:jc w:val="left"/>
      </w:pPr>
      <w:r>
        <w:rPr>
          <w:rFonts w:ascii="Arial" w:cs="Arial" w:eastAsia="Arial" w:hAnsi="Arial"/>
          <w:b w:val="false"/>
          <w:bCs w:val="false"/>
          <w:i w:val="false"/>
          <w:iCs w:val="false"/>
          <w:color w:val="1A1A1A"/>
          <w:sz w:val="20"/>
          <w:szCs w:val="20"/>
        </w:rPr>
        <w:t xml:space="preserve">The engine also computes a kinetic energy analog (KE = 0.5 × m × v²) representing the energy of the current stage transition, and a stage acceleration (a = Δv / Δt) indicating whether the transition rate is itself increasing or decreasing. These physics-derived quantities provide a richer characterization of stage transition dynamics than velocity alone and enable prediction of transition overshoot — cases where a system temporarily passes through a stage en route to a stable equilibrium at a different stage.</w:t>
      </w:r>
    </w:p>
    <w:p>
      <w:pPr>
        <w:pStyle w:val="Heading2"/>
        <w:spacing w:after="120" w:before="300"/>
      </w:pPr>
      <w:r>
        <w:rPr>
          <w:rFonts w:ascii="Arial" w:cs="Arial" w:eastAsia="Arial" w:hAnsi="Arial"/>
          <w:b/>
          <w:bCs/>
          <w:color w:val="1A3C5E"/>
          <w:sz w:val="28"/>
          <w:szCs w:val="28"/>
        </w:rPr>
        <w:t xml:space="preserve">4.13 PolyvagalState — Autonomic Infrastructure State Mapping</w:t>
      </w:r>
    </w:p>
    <w:p>
      <w:pPr>
        <w:spacing w:after="140" w:before="80" w:line="276"/>
        <w:jc w:val="left"/>
      </w:pPr>
      <w:r>
        <w:rPr>
          <w:rFonts w:ascii="Arial" w:cs="Arial" w:eastAsia="Arial" w:hAnsi="Arial"/>
          <w:b w:val="false"/>
          <w:bCs w:val="false"/>
          <w:i w:val="false"/>
          <w:iCs w:val="false"/>
          <w:color w:val="1A1A1A"/>
          <w:sz w:val="20"/>
          <w:szCs w:val="20"/>
        </w:rPr>
        <w:t xml:space="preserve">The PolyvagalState module applies the Polyvagal Theory of autonomic nervous system function, originally developed by Dr. Stephen Porges, to infrastructure state classification. Polyvagal Theory describes three hierarchical autonomic states: Ventral Vagal (social engagement, safe and connected), Sympathetic (mobilization, fight-or-flight), and Dorsal Vagal (immobilization, shutdown/collapse).</w:t>
      </w:r>
    </w:p>
    <w:p>
      <w:pPr>
        <w:spacing w:after="140" w:before="80" w:line="276"/>
        <w:jc w:val="left"/>
      </w:pPr>
      <w:r>
        <w:rPr>
          <w:rFonts w:ascii="Arial" w:cs="Arial" w:eastAsia="Arial" w:hAnsi="Arial"/>
          <w:b w:val="false"/>
          <w:bCs w:val="false"/>
          <w:i w:val="false"/>
          <w:iCs w:val="false"/>
          <w:color w:val="1A1A1A"/>
          <w:sz w:val="20"/>
          <w:szCs w:val="20"/>
        </w:rPr>
        <w:t xml:space="preserve">The module maps these three states to SAP stage ranges: Ventral Vagal corresponds to Stages 5-9 (healthy, adaptive, connected); Sympathetic corresponds to Stages 3-4 (stressed, compensating, mobilized); Dorsal Vagal corresponds to Stages 0-2 (shutdown, collapse, reactive). This mapping enables infrastructure operators to describe system state in intuitive autonomic language: a Stage 1 grid is in Dorsal Vagal shutdown; a Stage 7 grid is in Ventral Vagal operation.</w:t>
      </w:r>
    </w:p>
    <w:p>
      <w:pPr>
        <w:spacing w:after="140" w:before="80" w:line="276"/>
        <w:jc w:val="left"/>
      </w:pPr>
      <w:r>
        <w:rPr>
          <w:rFonts w:ascii="Arial" w:cs="Arial" w:eastAsia="Arial" w:hAnsi="Arial"/>
          <w:b w:val="false"/>
          <w:bCs w:val="false"/>
          <w:i w:val="false"/>
          <w:iCs w:val="false"/>
          <w:color w:val="1A1A1A"/>
          <w:sz w:val="20"/>
          <w:szCs w:val="20"/>
        </w:rPr>
        <w:t xml:space="preserve">The inventive contribution is the novel application of polyvagal autonomic state theory as a classification and communication framework for infrastructure system health, which provides a clinically-grounded interpretive layer that is particularly useful for communicating risk states to non-technical stakeholders.</w:t>
      </w:r>
    </w:p>
    <w:p>
      <w:pPr>
        <w:pStyle w:val="Heading2"/>
        <w:spacing w:after="120" w:before="300"/>
      </w:pPr>
      <w:r>
        <w:rPr>
          <w:rFonts w:ascii="Arial" w:cs="Arial" w:eastAsia="Arial" w:hAnsi="Arial"/>
          <w:b/>
          <w:bCs/>
          <w:color w:val="1A3C5E"/>
          <w:sz w:val="28"/>
          <w:szCs w:val="28"/>
        </w:rPr>
        <w:t xml:space="preserve">4.14 InfraPhysiologicalMetrics — Physiological Health Analogs</w:t>
      </w:r>
    </w:p>
    <w:p>
      <w:pPr>
        <w:spacing w:after="140" w:before="80" w:line="276"/>
        <w:jc w:val="left"/>
      </w:pPr>
      <w:r>
        <w:rPr>
          <w:rFonts w:ascii="Arial" w:cs="Arial" w:eastAsia="Arial" w:hAnsi="Arial"/>
          <w:b w:val="false"/>
          <w:bCs w:val="false"/>
          <w:i w:val="false"/>
          <w:iCs w:val="false"/>
          <w:color w:val="1A1A1A"/>
          <w:sz w:val="20"/>
          <w:szCs w:val="20"/>
        </w:rPr>
        <w:t xml:space="preserve">The InfraPhysiologicalMetrics module maps five physiological health markers — Heart Rate Variability (HRV), Cortisol Level, Oxytocin Level, Adrenaline Level, and Coherence Score — to normalized infrastructure health dimensions. Each marker is computed from the NSDT dimensional inputs as follows:</w:t>
      </w:r>
    </w:p>
    <w:p>
      <w:pPr>
        <w:spacing w:after="140" w:before="80" w:line="276"/>
        <w:jc w:val="left"/>
      </w:pPr>
      <w:r>
        <w:rPr>
          <w:rFonts w:ascii="Arial" w:cs="Arial" w:eastAsia="Arial" w:hAnsi="Arial"/>
          <w:b w:val="false"/>
          <w:bCs w:val="false"/>
          <w:i w:val="false"/>
          <w:iCs w:val="false"/>
          <w:color w:val="1A1A1A"/>
          <w:sz w:val="20"/>
          <w:szCs w:val="20"/>
        </w:rPr>
        <w:t xml:space="preserve">HRV_analog: Derived from Adaptability and Stability; high HRV indicates flexible, responsive infrastructure. Cortisol_analog: Derived from Tension and Rigidity; high Cortisol indicates chronic stress and inflexibility. Oxytocin_analog: Derived from Coherence and inter-subsystem coordination score; high Oxytocin indicates healthy inter-node cooperation. Adrenaline_analog: Derived from the magnitude and rate of stage decline; high Adrenaline indicates acute emergency response. Coherence_score: A composite measure of temporal alignment across subsystems.</w:t>
      </w:r>
    </w:p>
    <w:p>
      <w:pPr>
        <w:spacing w:after="140" w:before="80" w:line="276"/>
        <w:jc w:val="left"/>
      </w:pPr>
      <w:r>
        <w:rPr>
          <w:rFonts w:ascii="Arial" w:cs="Arial" w:eastAsia="Arial" w:hAnsi="Arial"/>
          <w:b w:val="false"/>
          <w:bCs w:val="false"/>
          <w:i w:val="false"/>
          <w:iCs w:val="false"/>
          <w:color w:val="1A1A1A"/>
          <w:sz w:val="20"/>
          <w:szCs w:val="20"/>
        </w:rPr>
        <w:t xml:space="preserve">The module produces a to_dict() output that expresses infrastructure health in physiological terms, enabling a new class of health monitoring dashboards oriented around biological wellness metaphors.</w:t>
      </w:r>
    </w:p>
    <w:p>
      <w:pPr>
        <w:pStyle w:val="Heading2"/>
        <w:spacing w:after="120" w:before="300"/>
      </w:pPr>
      <w:r>
        <w:rPr>
          <w:rFonts w:ascii="Arial" w:cs="Arial" w:eastAsia="Arial" w:hAnsi="Arial"/>
          <w:b/>
          <w:bCs/>
          <w:color w:val="1A3C5E"/>
          <w:sz w:val="28"/>
          <w:szCs w:val="28"/>
        </w:rPr>
        <w:t xml:space="preserve">4.15 InfraContainerRuleEngine — Digital Root Stage Mapping</w:t>
      </w:r>
    </w:p>
    <w:p>
      <w:pPr>
        <w:spacing w:after="140" w:before="80" w:line="276"/>
        <w:jc w:val="left"/>
      </w:pPr>
      <w:r>
        <w:rPr>
          <w:rFonts w:ascii="Arial" w:cs="Arial" w:eastAsia="Arial" w:hAnsi="Arial"/>
          <w:b w:val="false"/>
          <w:bCs w:val="false"/>
          <w:i w:val="false"/>
          <w:iCs w:val="false"/>
          <w:color w:val="1A1A1A"/>
          <w:sz w:val="20"/>
          <w:szCs w:val="20"/>
        </w:rPr>
        <w:t xml:space="preserve">The InfraContainerRuleEngine implements the Container Rule, a mathematical principle describing the relationship between content digit, container digit, and the resulting SAP stage. The fundamental operation is: digital_root(content_digit + container_digit) = SAP_stage.</w:t>
      </w:r>
    </w:p>
    <w:p>
      <w:pPr>
        <w:spacing w:after="140" w:before="80" w:line="276"/>
        <w:jc w:val="left"/>
      </w:pPr>
      <w:r>
        <w:rPr>
          <w:rFonts w:ascii="Arial" w:cs="Arial" w:eastAsia="Arial" w:hAnsi="Arial"/>
          <w:b w:val="false"/>
          <w:bCs w:val="false"/>
          <w:i w:val="false"/>
          <w:iCs w:val="false"/>
          <w:color w:val="1A1A1A"/>
          <w:sz w:val="20"/>
          <w:szCs w:val="20"/>
        </w:rPr>
        <w:t xml:space="preserve">The digital root of a positive integer is computed by iterative digit summation: digital_root(n) = 1 + ((n-1) mod 9) for n &gt; 0. This operation maps any positive integer to a value in the range 1-9, corresponding to SAP Stages 1-9.</w:t>
      </w:r>
    </w:p>
    <w:p>
      <w:pPr>
        <w:spacing w:after="140" w:before="80" w:line="276"/>
        <w:jc w:val="left"/>
      </w:pPr>
      <w:r>
        <w:rPr>
          <w:rFonts w:ascii="Arial" w:cs="Arial" w:eastAsia="Arial" w:hAnsi="Arial"/>
          <w:b w:val="false"/>
          <w:bCs w:val="false"/>
          <w:i w:val="false"/>
          <w:iCs w:val="false"/>
          <w:color w:val="1A1A1A"/>
          <w:sz w:val="20"/>
          <w:szCs w:val="20"/>
        </w:rPr>
        <w:t xml:space="preserve">The engine includes four additional properties that govern the behavior of container-content relationships: (1) Magnetic Drag — the resistance of a container to accepting content that would produce a stage assignment more than two stages from the container's own stage; (2) Pivot/Flip — a rule governing reversal of the container-content relationship when the content digit exceeds the container digit by a threshold amount; (3) Harmonic Resonance — a resonance condition that occurs when content and container digits produce a digital root exactly equal to either the content or container digit, indicating a stable self-reinforcing state; (4) Dissolve threshold — the minimum combined digit value below which the container-content bond dissolves and the entity reverts to a default stage.</w:t>
      </w:r>
    </w:p>
    <w:p>
      <w:pPr>
        <w:spacing w:after="140" w:before="80" w:line="276"/>
        <w:jc w:val="left"/>
      </w:pPr>
      <w:r>
        <w:rPr>
          <w:rFonts w:ascii="Arial" w:cs="Arial" w:eastAsia="Arial" w:hAnsi="Arial"/>
          <w:b w:val="false"/>
          <w:bCs w:val="false"/>
          <w:i w:val="false"/>
          <w:iCs w:val="false"/>
          <w:color w:val="1A1A1A"/>
          <w:sz w:val="20"/>
          <w:szCs w:val="20"/>
        </w:rPr>
        <w:t xml:space="preserve">The inventive contribution is the application of digital root arithmetic to entity identifier stage assignment, providing a mathematically deterministic cross-verification mechanism for stage classifications derived by the NSDT Euclidean distance method.</w:t>
      </w:r>
    </w:p>
    <w:p>
      <w:pPr>
        <w:pStyle w:val="Heading2"/>
        <w:spacing w:after="120" w:before="300"/>
      </w:pPr>
      <w:r>
        <w:rPr>
          <w:rFonts w:ascii="Arial" w:cs="Arial" w:eastAsia="Arial" w:hAnsi="Arial"/>
          <w:b/>
          <w:bCs/>
          <w:color w:val="1A3C5E"/>
          <w:sz w:val="28"/>
          <w:szCs w:val="28"/>
        </w:rPr>
        <w:t xml:space="preserve">4.16 EthicalPrinciple (Ma'at) — Ethical Compliance Overlay</w:t>
      </w:r>
    </w:p>
    <w:p>
      <w:pPr>
        <w:spacing w:after="140" w:before="80" w:line="276"/>
        <w:jc w:val="left"/>
      </w:pPr>
      <w:r>
        <w:rPr>
          <w:rFonts w:ascii="Arial" w:cs="Arial" w:eastAsia="Arial" w:hAnsi="Arial"/>
          <w:b w:val="false"/>
          <w:bCs w:val="false"/>
          <w:i w:val="false"/>
          <w:iCs w:val="false"/>
          <w:color w:val="1A1A1A"/>
          <w:sz w:val="20"/>
          <w:szCs w:val="20"/>
        </w:rPr>
        <w:t xml:space="preserve">The EthicalPrinciple module applies the seven principles of Ma'at — Truth (Ma'at), Justice (Maat-Ib), Harmony (Hotep), Balance (Sema), Order (Medu), Propriety (Seba), and Reciprocity (Djed) — as a seven-dimension ethical compliance scoring framework that operates in parallel with the NSDT health staging pipeline.</w:t>
      </w:r>
    </w:p>
    <w:p>
      <w:pPr>
        <w:spacing w:after="140" w:before="80" w:line="276"/>
        <w:jc w:val="left"/>
      </w:pPr>
      <w:r>
        <w:rPr>
          <w:rFonts w:ascii="Arial" w:cs="Arial" w:eastAsia="Arial" w:hAnsi="Arial"/>
          <w:b w:val="false"/>
          <w:bCs w:val="false"/>
          <w:i w:val="false"/>
          <w:iCs w:val="false"/>
          <w:color w:val="1A1A1A"/>
          <w:sz w:val="20"/>
          <w:szCs w:val="20"/>
        </w:rPr>
        <w:t xml:space="preserve">Each principle maps to a specific aspect of infrastructure operational ethics: Truth to measurement accuracy and data integrity; Justice to equitable load distribution; Harmony to subsystem coordination; Balance to load-generation equilibrium; Order to regulatory compliance and protocol adherence; Propriety to appropriate alert escalation and intervention scope; Reciprocity to grid export-import balance and mutual aid agreements.</w:t>
      </w:r>
    </w:p>
    <w:p>
      <w:pPr>
        <w:spacing w:after="140" w:before="80" w:line="276"/>
        <w:jc w:val="left"/>
      </w:pPr>
      <w:r>
        <w:rPr>
          <w:rFonts w:ascii="Arial" w:cs="Arial" w:eastAsia="Arial" w:hAnsi="Arial"/>
          <w:b w:val="false"/>
          <w:bCs w:val="false"/>
          <w:i w:val="false"/>
          <w:iCs w:val="false"/>
          <w:color w:val="1A1A1A"/>
          <w:sz w:val="20"/>
          <w:szCs w:val="20"/>
        </w:rPr>
        <w:t xml:space="preserve">The module produces an ethical compliance score for each active operational decision, enabling operators to assess whether a proposed intervention (load shedding, isolation, dispatch modification) satisfies the ethical constraints of the Ma'at framework in addition to the technical requirements of the SAP stage classification.</w:t>
      </w:r>
    </w:p>
    <w:p>
      <w:r>
        <w:br w:type="page"/>
      </w:r>
    </w:p>
    <w:p>
      <w:pPr>
        <w:pStyle w:val="Heading1"/>
        <w:spacing w:after="120" w:before="480"/>
      </w:pPr>
      <w:r>
        <w:rPr>
          <w:rFonts w:ascii="Arial" w:cs="Arial" w:eastAsia="Arial" w:hAnsi="Arial"/>
          <w:b/>
          <w:bCs/>
          <w:color w:val="1A3C5E"/>
          <w:sz w:val="36"/>
          <w:szCs w:val="36"/>
        </w:rPr>
        <w:t xml:space="preserve">5. ADDITIONAL PREFERRED EMBODIMENTS</w:t>
      </w:r>
    </w:p>
    <w:p>
      <w:pPr>
        <w:pStyle w:val="Heading2"/>
        <w:spacing w:after="120" w:before="300"/>
      </w:pPr>
      <w:r>
        <w:rPr>
          <w:rFonts w:ascii="Arial" w:cs="Arial" w:eastAsia="Arial" w:hAnsi="Arial"/>
          <w:b/>
          <w:bCs/>
          <w:color w:val="1A3C5E"/>
          <w:sz w:val="28"/>
          <w:szCs w:val="28"/>
        </w:rPr>
        <w:t xml:space="preserve">Embodiment 4 — Cyber-Physical Infrastructure Monitoring (SCADA + Network)</w:t>
      </w:r>
    </w:p>
    <w:p>
      <w:pPr>
        <w:spacing w:after="140" w:before="80" w:line="276"/>
        <w:jc w:val="left"/>
      </w:pPr>
      <w:r>
        <w:rPr>
          <w:rFonts w:ascii="Arial" w:cs="Arial" w:eastAsia="Arial" w:hAnsi="Arial"/>
          <w:b w:val="false"/>
          <w:bCs w:val="false"/>
          <w:i w:val="false"/>
          <w:iCs w:val="false"/>
          <w:color w:val="1A1A1A"/>
          <w:sz w:val="20"/>
          <w:szCs w:val="20"/>
        </w:rPr>
        <w:t xml:space="preserve">In Embodiment 4, LUMINARK OVERWATCH PRIME ULTRA is deployed in a hybrid SCADA/network environment where both physical telemetry (grid sensors, flow meters, pressure sensors) and cyber telemetry (firewall logs, SIEM events, IDS alerts) are simultaneously monitored. The RISSCalculator receives the cyber kill chain stage signals from the network SIEM and maps them to SAP stages. The NSDT engine receives the physical sensor stream. Both outputs are fed to a combined Consensus Engine that produces a unified SAP stage assignment reflecting the combined cyber-physical health of the infrastructure.</w:t>
      </w:r>
    </w:p>
    <w:p>
      <w:pPr>
        <w:spacing w:after="140" w:before="80" w:line="276"/>
        <w:jc w:val="left"/>
      </w:pPr>
      <w:r>
        <w:rPr>
          <w:rFonts w:ascii="Arial" w:cs="Arial" w:eastAsia="Arial" w:hAnsi="Arial"/>
          <w:b w:val="false"/>
          <w:bCs w:val="false"/>
          <w:i w:val="false"/>
          <w:iCs w:val="false"/>
          <w:color w:val="1A1A1A"/>
          <w:sz w:val="20"/>
          <w:szCs w:val="20"/>
        </w:rPr>
        <w:t xml:space="preserve">In this embodiment, the BioSensoryFusion module receives environmental telemetry (thermal, acoustic, electromagnetic) from IoT sensor arrays distributed across the physical infrastructure and combines them with the SCADA data stream using the three-species integration weights. The combined output provides a comprehensive environmental situational awareness layer not available from SCADA data alone.</w:t>
      </w:r>
    </w:p>
    <w:p>
      <w:pPr>
        <w:pStyle w:val="Heading2"/>
        <w:spacing w:after="120" w:before="300"/>
      </w:pPr>
      <w:r>
        <w:rPr>
          <w:rFonts w:ascii="Arial" w:cs="Arial" w:eastAsia="Arial" w:hAnsi="Arial"/>
          <w:b/>
          <w:bCs/>
          <w:color w:val="1A3C5E"/>
          <w:sz w:val="28"/>
          <w:szCs w:val="28"/>
        </w:rPr>
        <w:t xml:space="preserve">Embodiment 5 — Physics-Based Trajectory Prediction (Fleet/Grid)</w:t>
      </w:r>
    </w:p>
    <w:p>
      <w:pPr>
        <w:spacing w:after="140" w:before="80" w:line="276"/>
        <w:jc w:val="left"/>
      </w:pPr>
      <w:r>
        <w:rPr>
          <w:rFonts w:ascii="Arial" w:cs="Arial" w:eastAsia="Arial" w:hAnsi="Arial"/>
          <w:b w:val="false"/>
          <w:bCs w:val="false"/>
          <w:i w:val="false"/>
          <w:iCs w:val="false"/>
          <w:color w:val="1A1A1A"/>
          <w:sz w:val="20"/>
          <w:szCs w:val="20"/>
        </w:rPr>
        <w:t xml:space="preserve">In Embodiment 5, the InfraPhysicsVelocityEngine is deployed to produce predictive lead-time estimates for stage transitions in high-inertia systems such as large-scale electrical grids or heavy industrial fleets. The momentum analog is calibrated against the historical validation dataset to produce confidence intervals for transition timing predictions. When stage momentum exceeds a configurable threshold and stage velocity is negative (deteriorating), the engine issues a Time-to-QUARANTINE prediction expressing the estimated elapsed time before the system reaches Stage 1 or below, given no intervention. This time estimate supplements the Bio-Defense alert level with an actionable urgency horizon.</w:t>
      </w:r>
    </w:p>
    <w:p>
      <w:r>
        <w:br w:type="page"/>
      </w:r>
    </w:p>
    <w:p>
      <w:pPr>
        <w:pStyle w:val="Heading1"/>
        <w:spacing w:after="120" w:before="480"/>
      </w:pPr>
      <w:r>
        <w:rPr>
          <w:rFonts w:ascii="Arial" w:cs="Arial" w:eastAsia="Arial" w:hAnsi="Arial"/>
          <w:b/>
          <w:bCs/>
          <w:color w:val="1A3C5E"/>
          <w:sz w:val="36"/>
          <w:szCs w:val="36"/>
        </w:rPr>
        <w:t xml:space="preserve">6. AMENDED CLAIMS (To Be Finalized by Patent Counsel)</w:t>
      </w:r>
    </w:p>
    <w:p>
      <w:pPr>
        <w:spacing w:after="140" w:before="80" w:line="276"/>
        <w:jc w:val="left"/>
      </w:pPr>
      <w:r>
        <w:rPr>
          <w:rFonts w:ascii="Arial" w:cs="Arial" w:eastAsia="Arial" w:hAnsi="Arial"/>
          <w:b w:val="false"/>
          <w:bCs w:val="false"/>
          <w:i w:val="false"/>
          <w:iCs w:val="false"/>
          <w:color w:val="1A1A1A"/>
          <w:sz w:val="20"/>
          <w:szCs w:val="20"/>
        </w:rPr>
        <w:t xml:space="preserve">The following claim additions and amendments are submitted for incorporation into the pending utility patent application. Each claim is supported by the detailed description in Section 4 above.</w:t>
      </w:r>
    </w:p>
    <w:p>
      <w:pPr>
        <w:pStyle w:val="Heading2"/>
        <w:spacing w:after="120" w:before="300"/>
      </w:pPr>
      <w:r>
        <w:rPr>
          <w:rFonts w:ascii="Arial" w:cs="Arial" w:eastAsia="Arial" w:hAnsi="Arial"/>
          <w:b/>
          <w:bCs/>
          <w:color w:val="1A3C5E"/>
          <w:sz w:val="28"/>
          <w:szCs w:val="28"/>
        </w:rPr>
        <w:t xml:space="preserve">Independent Method Claims (New)</w:t>
      </w:r>
    </w:p>
    <w:p>
      <w:pPr>
        <w:spacing w:after="60" w:before="60" w:line="276"/>
        <w:ind/>
      </w:pPr>
      <w:r>
        <w:rPr>
          <w:rFonts w:ascii="Arial" w:cs="Arial" w:eastAsia="Arial" w:hAnsi="Arial"/>
          <w:color w:val="1A1A1A"/>
          <w:sz w:val="18"/>
          <w:szCs w:val="18"/>
        </w:rPr>
        <w:t xml:space="preserve">Claim 11 (New): A computer-implemented method for cyber-physical threat classification comprising: receiving a cyber kill chain stage signal indicating the current stage of a detected network intrusion; mapping said stage signal to a corresponding SAP stage value from a pre-defined seven-to-ten-stage mapping table; combining the mapped SAP stage value with a physical infrastructure NSDT stage assignment in a Consensus Engine to produce a unified cyber-physical stage classification; and issuing a Bio-Defense alert based on said unified classification.</w:t>
      </w:r>
    </w:p>
    <w:p>
      <w:pPr>
        <w:spacing w:after="60" w:before="60" w:line="276"/>
        <w:ind/>
      </w:pPr>
      <w:r>
        <w:rPr>
          <w:rFonts w:ascii="Arial" w:cs="Arial" w:eastAsia="Arial" w:hAnsi="Arial"/>
          <w:color w:val="1A1A1A"/>
          <w:sz w:val="18"/>
          <w:szCs w:val="18"/>
        </w:rPr>
        <w:t xml:space="preserve">Claim 12 (New): A computer-implemented method for bio-inspired environmental threat detection comprising: receiving first environmental signals from a mycelium-network-topology distributed sensor array; receiving second environmental signals from an octopus-chromatophore-pattern distributed sensor array; receiving third environmental signals from a thermal gradient sensor array; applying species-specific integration weights (mycelium 0.4, octopus 0.35, thermal 0.25) to produce a fused environmental awareness score; and incorporating said score into an NSDT Complexity dimension input.</w:t>
      </w:r>
    </w:p>
    <w:p>
      <w:pPr>
        <w:spacing w:after="60" w:before="60" w:line="276"/>
        <w:ind/>
      </w:pPr>
      <w:r>
        <w:rPr>
          <w:rFonts w:ascii="Arial" w:cs="Arial" w:eastAsia="Arial" w:hAnsi="Arial"/>
          <w:color w:val="1A1A1A"/>
          <w:sz w:val="18"/>
          <w:szCs w:val="18"/>
        </w:rPr>
        <w:t xml:space="preserve">Claim 13 (New): A computer-implemented method for stage transition momentum analysis comprising: computing stage velocity as the change in SAP stage per unit time over a rolling observation window; computing a mass analog from the Complexity and Coherence NSDT dimensions; computing stage momentum as the product of said mass analog and said stage velocity; computing stage kinetic energy as one-half of the product of said mass analog and the square of said stage velocity; and issuing a trajectory overshoot alert when kinetic energy exceeds a pre-defined threshold.</w:t>
      </w:r>
    </w:p>
    <w:p>
      <w:pPr>
        <w:spacing w:after="60" w:before="60" w:line="276"/>
        <w:ind/>
      </w:pPr>
      <w:r>
        <w:rPr>
          <w:rFonts w:ascii="Arial" w:cs="Arial" w:eastAsia="Arial" w:hAnsi="Arial"/>
          <w:color w:val="1A1A1A"/>
          <w:sz w:val="18"/>
          <w:szCs w:val="18"/>
        </w:rPr>
        <w:t xml:space="preserve">Claim 14 (New): A computer-implemented method for digital root stage derivation comprising: receiving a content entity identifier and a container entity identifier; computing the arithmetic sum of content digit and container digit; computing the digital root of said sum as 1 + ((sum - 1) mod 9); assigning the resulting value as the SAP stage for the entity relationship; and applying Magnetic Drag, Pivot/Flip, Harmonic Resonance, and Dissolve threshold rules to said stage assignment.</w:t>
      </w:r>
    </w:p>
    <w:p>
      <w:pPr>
        <w:pStyle w:val="Heading2"/>
        <w:spacing w:after="120" w:before="300"/>
      </w:pPr>
      <w:r>
        <w:rPr>
          <w:rFonts w:ascii="Arial" w:cs="Arial" w:eastAsia="Arial" w:hAnsi="Arial"/>
          <w:b/>
          <w:bCs/>
          <w:color w:val="1A3C5E"/>
          <w:sz w:val="28"/>
          <w:szCs w:val="28"/>
        </w:rPr>
        <w:t xml:space="preserve">Independent System Claims (New)</w:t>
      </w:r>
    </w:p>
    <w:p>
      <w:pPr>
        <w:spacing w:after="60" w:before="60" w:line="276"/>
        <w:ind/>
      </w:pPr>
      <w:r>
        <w:rPr>
          <w:rFonts w:ascii="Arial" w:cs="Arial" w:eastAsia="Arial" w:hAnsi="Arial"/>
          <w:color w:val="1A1A1A"/>
          <w:sz w:val="18"/>
          <w:szCs w:val="18"/>
        </w:rPr>
        <w:t xml:space="preserve">Claim 15 (New): A predictive infrastructure health monitoring system comprising: a RISSCalculator module configured to classify cyber kill chain progression as SAP stages; a BioSensoryFusion module configured to integrate mycelium, octopus, and thermal sensor signals using species-specific integration weights; an InfraPhysicsVelocityEngine configured to compute stage momentum, velocity, and kinetic energy analogs; an InfraContainerRuleEngine configured to derive SAP stage assignments from digital root arithmetic on entity identifier pairs; and a PolyvagalState classifier configured to map SAP stages to Ventral Vagal, Sympathetic, and Dorsal Vagal autonomic states.</w:t>
      </w:r>
    </w:p>
    <w:p>
      <w:pPr>
        <w:pStyle w:val="Heading2"/>
        <w:spacing w:after="120" w:before="300"/>
      </w:pPr>
      <w:r>
        <w:rPr>
          <w:rFonts w:ascii="Arial" w:cs="Arial" w:eastAsia="Arial" w:hAnsi="Arial"/>
          <w:b/>
          <w:bCs/>
          <w:color w:val="1A3C5E"/>
          <w:sz w:val="28"/>
          <w:szCs w:val="28"/>
        </w:rPr>
        <w:t xml:space="preserve">Dependent Claims (New)</w:t>
      </w:r>
    </w:p>
    <w:p>
      <w:pPr>
        <w:spacing w:after="60" w:before="60" w:line="276"/>
        <w:ind/>
      </w:pPr>
      <w:r>
        <w:rPr>
          <w:rFonts w:ascii="Arial" w:cs="Arial" w:eastAsia="Arial" w:hAnsi="Arial"/>
          <w:color w:val="1A1A1A"/>
          <w:sz w:val="18"/>
          <w:szCs w:val="18"/>
        </w:rPr>
        <w:t xml:space="preserve">Claim 16: The method of Claim 11, wherein the RISSCalculator additionally computes a threat velocity score representing the rate of cyber kill chain stage progression and incorporates said velocity into a composite RISS TrapScore analog.</w:t>
      </w:r>
    </w:p>
    <w:p>
      <w:pPr>
        <w:spacing w:after="60" w:before="60" w:line="276"/>
        <w:ind/>
      </w:pPr>
      <w:r>
        <w:rPr>
          <w:rFonts w:ascii="Arial" w:cs="Arial" w:eastAsia="Arial" w:hAnsi="Arial"/>
          <w:color w:val="1A1A1A"/>
          <w:sz w:val="18"/>
          <w:szCs w:val="18"/>
        </w:rPr>
        <w:t xml:space="preserve">Claim 17: The system of Claim 15, wherein the BioSensoryFusion module additionally produces a network_threat_gradient output representing the spatial distribution of anomalous signals across the monitored node array.</w:t>
      </w:r>
    </w:p>
    <w:p>
      <w:pPr>
        <w:spacing w:after="60" w:before="60" w:line="276"/>
        <w:ind/>
      </w:pPr>
      <w:r>
        <w:rPr>
          <w:rFonts w:ascii="Arial" w:cs="Arial" w:eastAsia="Arial" w:hAnsi="Arial"/>
          <w:color w:val="1A1A1A"/>
          <w:sz w:val="18"/>
          <w:szCs w:val="18"/>
        </w:rPr>
        <w:t xml:space="preserve">Claim 18: The method of Claim 13, wherein stage momentum is additionally used to compute a Time-to-QUARANTINE prediction expressing estimated elapsed time to Stage 1 or below under current trajectory without intervention.</w:t>
      </w:r>
    </w:p>
    <w:p>
      <w:pPr>
        <w:spacing w:after="60" w:before="60" w:line="276"/>
        <w:ind/>
      </w:pPr>
      <w:r>
        <w:rPr>
          <w:rFonts w:ascii="Arial" w:cs="Arial" w:eastAsia="Arial" w:hAnsi="Arial"/>
          <w:color w:val="1A1A1A"/>
          <w:sz w:val="18"/>
          <w:szCs w:val="18"/>
        </w:rPr>
        <w:t xml:space="preserve">Claim 19: The system of Claim 15, additionally comprising an InfraPhysiologicalMetrics module that maps Adaptability and Stability to a Heart Rate Variability analog, Tension to a Cortisol analog, and Coherence to an Oxytocin analog.</w:t>
      </w:r>
    </w:p>
    <w:p>
      <w:pPr>
        <w:spacing w:after="60" w:before="60" w:line="276"/>
        <w:ind/>
      </w:pPr>
      <w:r>
        <w:rPr>
          <w:rFonts w:ascii="Arial" w:cs="Arial" w:eastAsia="Arial" w:hAnsi="Arial"/>
          <w:color w:val="1A1A1A"/>
          <w:sz w:val="18"/>
          <w:szCs w:val="18"/>
        </w:rPr>
        <w:t xml:space="preserve">Claim 20: The system of Claim 15, additionally comprising an EthicalPrinciple module that applies Ma'at seven-principle ethical compliance scoring to infrastructure operational decisions, wherein each principle maps to a specific aspect of operational ethics selected from the group consisting of: data integrity, load distribution equity, subsystem coordination, load-generation balance, regulatory compliance, alert proportionality, and grid exchange reciprocity.</w:t>
      </w:r>
    </w:p>
    <w:p>
      <w:pPr>
        <w:pStyle w:val="Heading2"/>
      </w:pPr>
      <w:r>
        <w:t xml:space="preserve">Second Amendment Claims — Session Intelligence, Bio-Defense Behaviors, and Epistemic Safety (March 2026)</w:t>
      </w:r>
    </w:p>
    <w:p>
      <w:r>
        <w:t xml:space="preserve">Claim 21 (New — Independent Method): A computer-implemented method for frequency-domain bio-sensory electrical pattern detection comprising: receiving a time-series activity signal from a distributed infrastructure node array; applying a Fast Fourier Transform (FFT) via NumPy rfft() to decompose said signal into frequency-domain components; comparing dominant frequency bins against pre-defined biological resonance frequencies comprising 7 Hz, 14 Hz, 28 Hz, and 42 Hz to detect resonance-matched threat signatures; and incorporating said resonance detection result into the MyceliumSensorySystem V4 threat assessment output. The method further comprises a graceful degradation fallback that substitutes energy-above-mean statistical proxies when NumPy is unavailable, ensuring continuous operation in constrained deployment environments.</w:t>
      </w:r>
    </w:p>
    <w:p>
      <w:r>
        <w:t xml:space="preserve">Claim 22 (New — Independent Method): A computer-implemented method for multi-scale vibration analysis using Continuous Wavelet Transform comprising: receiving a time-series vibration signal from an infrastructure system; applying a Continuous Wavelet Transform (CWT) using the Ricker (Mexican hat) wavelet via scipy.signal.cwt() across scales 1 through 16; computing per-scale energy as the sum of absolute wavelet coefficient values; identifying the dominant scale index as the scale with maximum energy; and classifying rhythmic threat patterns based on dominant scale, wherein scales 1-4 indicate high-frequency micro-vibration, scales 5-9 indicate mid-frequency structural resonance, and scales 10-16 indicate low-frequency macro-structural stress. The method further comprises integration into the OctopusSensorySystem vibration sensing pipeline to augment distributed anomaly detection.</w:t>
      </w:r>
    </w:p>
    <w:p>
      <w:r>
        <w:t xml:space="preserve">Claim 23 (New — Independent Method): A computer-implemented method for adaptive infrastructure load rerouting under threat comprising: detecting that one or more infrastructure network nodes have entered a CRITICAL or COMPROMISED state based on health score thresholds; computing a reroute plan by distributing 60% (REROUTE_FRACTION = 0.60) of the compromised node’s processing load proportionally across remaining healthy nodes, wherein each healthy node receives a load increment proportional to its health score relative to the total healthy node health sum; updating node load assignments accordingly; and logging a reroute event record containing affected node identifiers, reroute fraction, and timestamp. This method is designated InfraAdaptiveCamouflage and is inspired by the octopus distributed neural rerouting analog in biology.</w:t>
      </w:r>
    </w:p>
    <w:p>
      <w:r>
        <w:t xml:space="preserve">Claim 24 (New — Independent Method): A computer-implemented method for infrastructure node quarantine and bio-regeneration comprising: detecting that a network node health score has fallen below a quarantine threshold; placing the node into a quarantine state and removing it from the active processing pool; spawning a regenerated replacement node with identifier equal to the maximum existing node identifier plus one (regen_node_id = max(node_ids) + 1) and an initial health score of 65.0 (REGEN_HEALTH_BOOST); subjecting the regenerated node to a validation cycle of three iterations during which its health score must exceed a readmission threshold of 70.0 (READMIT_THRESHOLD); and upon successful validation, adding the regenerated node to the active pool and permanently retiring the quarantined node. This method is designated InfraIsolateAndRegenerate, modeled on Armillaria mycelial regeneration from healthy zones around dead tissue.</w:t>
      </w:r>
    </w:p>
    <w:p>
      <w:r>
        <w:t xml:space="preserve">Claim 25 (New — Independent Method): A computer-implemented method for infrastructure health report epistemic safety assessment comprising three sub-functions: (1) ARROGANCE_SCANNER — scanning a health report text string against a pre-defined overconfidence marker list including the phrases “100% stable,” “cannot fail,” “no risk,” “guaranteed uptime,” and “absolutely secure,” and flagging detected markers as YUNUS_STAGE8_TRAP or YUNUS_NO_WORST_CASE violations; (2) FALSE_LIGHT_DETECTION — detecting when a system is at SAP Stage 8 or above with NSDT Coherence below 3.0, indicating deceptively stable surface metrics concealing imminent collapse, and issuing a directive to collapse the stage assessment to Stage 5 for re-evaluation; (3) COMPASSIONATE_CONTAINMENT — applying controlled load reduction (brownout rather than blackout) when TrapScore exceeds 8.5 to preserve partial system function while preventing catastrophic failure propagation. This three-function composite is designated the Yunus Protocol for Infrastructure Systems.</w:t>
      </w:r>
    </w:p>
    <w:p>
      <w:r>
        <w:t xml:space="preserve">Claim 26 (New — Independent Method): A computer-implemented method for infrastructure failure recovery through last-stable-state preservation comprising three sub-functions: (1) LAST_STABLE_SNAPSHOT — automatically preserving the most recent system state snapshot in which SAP stage was between 4 and 6 inclusive and TrapScore was below 0.5, as a recovery reference baseline; (2) SHADOW_RETRIEVAL — activating a controlled descent protocol when harrowing conditions are detected (stage below 3 or TrapScore above 0.80), providing structured recovery directives targeting restoration to the preserved last stable state; (3) QUARANTINE_MODE — escalating to full quarantine isolation when TrapScore exceeds 0.90 or stage reaches Stage 0, preserving the last stable snapshot for post-quarantine restoration and issuing a quarantine_risk flag. The method further comprises a record_stable_state() function called on every analysis cycle to ensure the preservation target is always current. This three-function composite is designated the Harrowing Protocol for Infrastructure Systems.</w:t>
      </w:r>
    </w:p>
    <w:p>
      <w:r>
        <w:t xml:space="preserve">Claim 27 (New — Independent Method): A computer-implemented method for infrastructure session-level trajectory analysis comprising: recording per-analysis snapshots comprising SAP stage, TrapScore, adaptability, coherence, tension, stability, and defense mode for each invocation of the analysis pipeline; computing stage velocity (dS/dt) as the mean rate of stage change across the rolling snapshot history; computing risk momentum as the directional change in TrapScore between the first and second halves of the snapshot history; computing rigidity index as the fraction of snapshots in which SAP stage was 7 or 8; computing recovery index as the fraction of trap events that resolved to a non-trap state in a subsequent snapshot; and classifying overall trajectory as one of: ESCALATING, ASCENDING, RECOVERING, TRAPPED, STABLE, or OSCILLATING based on the four computed metrics. This session-level memory layer is designated LuminarkTrajectoryState and resolves the prior art deficiency of point-in-time-only infrastructure risk assessment.</w:t>
      </w:r>
    </w:p>
    <w:p>
      <w:r>
        <w:t xml:space="preserve">Claim 28 (New — Dependent on Claim 27): The method of Claim 27, wherein the LuminarkTrajectoryState is maintained as a per-system-identifier dictionary within the LuminarkOverwatchPrimeUltra engine instance, enabling independent and concurrent trajectory tracking for each monitored infrastructure system, and wherein trajectory data is accessible via REST API endpoint GET /overwatch/trajectory/{system_id} returning stage_velocity, risk_momentum, rigidity_index, recovery_index, trajectory_label, harrowing_active, and last_stable_stage fields in a JSON response envelope.</w:t>
      </w:r>
    </w:p>
    <w:p>
      <w:r>
        <w:t xml:space="preserve">Claim 29 (New — Dependent on Claim 15): The system of Claim 15, additionally comprising: a Yunus Protocol REST endpoint at POST /overwatch/yunus_scan accepting health report text, system identifier, SAP stage, and NSDT coherence value, and returning a yunus_score (0–100), output_safe flag, detected violation flags, and recommended action directive; and a Harrowing Protocol REST endpoint at GET /overwatch/harrowing_status/{system_id} returning harrowing_active status, last_stable_stage, restoration_action directive, and quarantine_risk flag for the specified infrastructure system, thereby exposing all epistemic safety and recovery outputs through the unified LUMINARK Unified API layer.</w:t>
      </w:r>
    </w:p>
    <w:p>
      <w:r>
        <w:br w:type="page"/>
      </w:r>
    </w:p>
    <w:p>
      <w:pPr>
        <w:pStyle w:val="Heading1"/>
        <w:spacing w:after="120" w:before="480"/>
      </w:pPr>
      <w:r>
        <w:rPr>
          <w:rFonts w:ascii="Arial" w:cs="Arial" w:eastAsia="Arial" w:hAnsi="Arial"/>
          <w:b/>
          <w:bCs/>
          <w:color w:val="1A3C5E"/>
          <w:sz w:val="36"/>
          <w:szCs w:val="36"/>
        </w:rPr>
        <w:t xml:space="preserve">7. AMENDED ABSTRACT</w:t>
      </w:r>
    </w:p>
    <w:p>
      <w:pPr>
        <w:spacing w:after="140" w:before="80" w:line="276"/>
        <w:jc w:val="left"/>
      </w:pPr>
      <w:r>
        <w:rPr>
          <w:rFonts w:ascii="Arial" w:cs="Arial" w:eastAsia="Arial" w:hAnsi="Arial"/>
          <w:b w:val="false"/>
          <w:bCs w:val="false"/>
          <w:i w:val="false"/>
          <w:iCs w:val="false"/>
          <w:color w:val="1A1A1A"/>
          <w:sz w:val="20"/>
          <w:szCs w:val="20"/>
        </w:rPr>
        <w:t xml:space="preserve">An amended multi-dimensional predictive system health intelligence engine is disclosed comprising sixteen integrated modules operating on the proprietary ten-stage Stanfield's Axiom of Perpetuity (SAP) framework. The original six modules — NSDT, TrapScore Engine, Temporal State Engine, Bio-Defense Alert System, Consensus Engine, and Spherical Fractal Topology — are supplemented by ten new modules: (1) a RISSCalculator that maps Cyber Kill Chain progression to SAP stages for unified cyber-physical threat classification; (2) a BioSensoryFusion module that integrates mycelium, octopus, and thermal sensor signals using species-specific integration weights; (3) a MyceliumSensorySystem that models distributed chemical gradient sensing across network node topologies; (4) an OctopusSensorySystem that applies chromatophore spatial pattern inversion for distributed anomaly detection; (5) a ThermalEnergySensing module for thermal gradient failure precursor detection; (6) an InfraPhysicsVelocityEngine that computes stage momentum, velocity, and kinetic energy analogs; (7) a PolyvagalState classifier that maps SAP stages to Ventral Vagal, Sympathetic, and Dorsal Vagal autonomic states; (8) an InfraPhysiologicalMetrics module expressing infrastructure health as physiological marker analogs; (9) an InfraContainerRuleEngine implementing digital root arithmetic for entity relationship stage derivation; and (10) an EthicalPrinciple module applying Ma'at seven-principle ethical compliance scoring. The engine has been retroactively validated against ten documented U.S. grid stress events with predictive lead times from four to thirty-eight hours.</w:t>
      </w:r>
    </w:p>
    <w:p>
      <w:r>
        <w:br w:type="page"/>
      </w:r>
    </w:p>
    <w:p>
      <w:pPr>
        <w:pStyle w:val="Heading1"/>
        <w:spacing w:after="120" w:before="480"/>
      </w:pPr>
      <w:r>
        <w:rPr>
          <w:rFonts w:ascii="Arial" w:cs="Arial" w:eastAsia="Arial" w:hAnsi="Arial"/>
          <w:b/>
          <w:bCs/>
          <w:color w:val="1A3C5E"/>
          <w:sz w:val="36"/>
          <w:szCs w:val="36"/>
        </w:rPr>
        <w:t xml:space="preserve">8. INVENTOR ATTESTATION</w:t>
      </w:r>
    </w:p>
    <w:p>
      <w:pPr>
        <w:spacing w:after="140" w:before="80" w:line="276"/>
        <w:jc w:val="left"/>
      </w:pPr>
      <w:r>
        <w:rPr>
          <w:rFonts w:ascii="Arial" w:cs="Arial" w:eastAsia="Arial" w:hAnsi="Arial"/>
          <w:b w:val="false"/>
          <w:bCs w:val="false"/>
          <w:i w:val="false"/>
          <w:iCs w:val="false"/>
          <w:color w:val="1A1A1A"/>
          <w:sz w:val="20"/>
          <w:szCs w:val="20"/>
        </w:rPr>
        <w:t xml:space="preserve">I, Richard L. Stanfield, declare that I am the original and sole inventor of the additions and amendments described in this Specification. The ten new modules described herein are original inventive works that supplement the prior LUMINARK OVERWATCH PRIME specification. To the best of my knowledge and belief, this Specification accurately and completely describes the invention as amended.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Inventor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Richard L. Stanfield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Signature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Organization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Meridian Axiom Alignment Technologies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info.rstanfield@gmail.com</w:t>
            </w:r>
          </w:p>
        </w:tc>
      </w:tr>
    </w:tbl>
    <w:p>
      <w:pPr>
        <w:spacing w:before="240"/>
      </w:pPr>
      <w:r>
        <w:rPr>
          <w:rFonts w:ascii="Arial" w:cs="Arial" w:eastAsia="Arial" w:hAnsi="Arial"/>
          <w:i/>
          <w:iCs/>
          <w:color w:val="666666"/>
          <w:sz w:val="16"/>
          <w:szCs w:val="16"/>
        </w:rPr>
        <w:t xml:space="preserve">NOTE: This document is a technical Specification prepared to assist a registered patent attorney in drafting and filing an Amended Utility Patent Application. It does not constitute legal advice and is not a substitute for counsel from a licensed patent attorney. The inventor is encouraged to have this document reviewed by a registered USPTO patent attorney or agent prior to any filing.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tabs>
        <w:tab w:val="right" w:pos="9026"/>
      </w:tabs>
    </w:pPr>
    <w:r>
      <w:rPr>
        <w:rFonts w:ascii="Arial" w:cs="Arial" w:eastAsia="Arial" w:hAnsi="Arial"/>
        <w:color w:val="888888"/>
        <w:sz w:val="16"/>
        <w:szCs w:val="16"/>
      </w:rPr>
      <w:t xml:space="preserve">Meridian Axiom Alignment Technologies  |  Richard L. Stanfield  |  info.rstanfield@gmail.com</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pPr>
    <w:r>
      <w:rPr>
        <w:rFonts w:ascii="Arial" w:cs="Arial" w:eastAsia="Arial" w:hAnsi="Arial"/>
        <w:color w:val="888888"/>
        <w:sz w:val="16"/>
        <w:szCs w:val="16"/>
      </w:rPr>
      <w:t xml:space="preserve">LUMINARK OVERWATCH PRIME ULTRA  |  Patent Specification — Updated March 2026</w:t>
    </w:r>
    <w:r>
      <w:rPr>
        <w:rFonts w:ascii="Arial" w:cs="Arial" w:eastAsia="Arial" w:hAnsi="Arial"/>
        <w:sz w:val="16"/>
        <w:szCs w:val="16"/>
      </w:rPr>
      <w:t xml:space="preserve">	</w:t>
    </w:r>
    <w:r>
      <w:rPr>
        <w:rFonts w:ascii="Arial" w:cs="Arial" w:eastAsia="Arial" w:hAnsi="Arial"/>
        <w:b/>
        <w:bCs/>
        <w:color w:val="C9A84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D737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2026-03-25T01:50:26.221Z</dcterms:created>
  <dcterms:modified xsi:type="dcterms:W3CDTF">2026-03-25T01:50:26.221Z</dcterms:modified>
</cp:coreProperties>
</file>

<file path=docProps/custom.xml><?xml version="1.0" encoding="utf-8"?>
<Properties xmlns="http://schemas.openxmlformats.org/officeDocument/2006/custom-properties" xmlns:vt="http://schemas.openxmlformats.org/officeDocument/2006/docPropsVTypes"/>
</file>