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We investigate an inflationary mechanism in which the attractor</w:t>
      </w:r>
      <w:r>
        <w:t xml:space="preserve"> </w:t>
      </w:r>
      <w:r>
        <w:t xml:space="preserve">behaviour arises from a field-dependent Planck mass rather than from a</w:t>
      </w:r>
      <w:r>
        <w:t xml:space="preserve"> </w:t>
      </w:r>
      <w:r>
        <w:t xml:space="preserve">specially tuned scalar potential. A heavy threshold sector induces a</w:t>
      </w:r>
      <w:r>
        <w:t xml:space="preserve"> </w:t>
      </w:r>
      <w:r>
        <w:t xml:space="preserve">running gravitational coupling</w:t>
      </w:r>
      <w:r>
        <w:t xml:space="preserve"> </w:t>
      </w:r>
      <m:oMath>
        <m:r>
          <m:t>F</m:t>
        </m:r>
        <m:r>
          <m:rPr>
            <m:sty m:val="p"/>
          </m:rPr>
          <m:t>(</m:t>
        </m:r>
        <m:r>
          <m:t>χ</m:t>
        </m:r>
        <m:r>
          <m:rPr>
            <m:sty m:val="p"/>
          </m:rPr>
          <m:t>)</m:t>
        </m:r>
      </m:oMath>
      <w:r>
        <w:t xml:space="preserve">, so that the Einstein-frame</w:t>
      </w:r>
      <w:r>
        <w:t xml:space="preserve"> </w:t>
      </w:r>
      <w:r>
        <w:t xml:space="preserve">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w:t>
      </w:r>
      <w:r>
        <w:t xml:space="preserve"> </w:t>
      </w:r>
      <w:r>
        <w:t xml:space="preserve">plateau through gravitational screening. Inflation therefore occurs</w:t>
      </w:r>
      <w:r>
        <w:t xml:space="preserve"> </w:t>
      </w:r>
      <w:r>
        <w:t xml:space="preserve">because the effective strength of gravity decreases during horizon exit,</w:t>
      </w:r>
      <w:r>
        <w:t xml:space="preserve"> </w:t>
      </w:r>
      <w:r>
        <w:t xml:space="preserve">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w:t>
      </w:r>
      <w:r>
        <w:t xml:space="preserve"> </w:t>
      </w:r>
      <w:r>
        <w:t xml:space="preserve">universal pole structure of single-field attractor inflation. In this</w:t>
      </w:r>
      <w:r>
        <w:t xml:space="preserve"> </w:t>
      </w:r>
      <w:r>
        <w:t xml:space="preserve">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w:t>
      </w:r>
      <w:r>
        <w:t xml:space="preserve"> </w:t>
      </w:r>
      <w:r>
        <w:t xml:space="preserve">geometry rather than introducing a new attractor class. The construction</w:t>
      </w:r>
      <w:r>
        <w:t xml:space="preserve"> </w:t>
      </w:r>
      <w:r>
        <w:t xml:space="preserve">can be interpreted as an RG-improved effective description capturing</w:t>
      </w:r>
      <w:r>
        <w:t xml:space="preserve"> </w:t>
      </w:r>
      <w:r>
        <w:t xml:space="preserve">threshold-induced running of Newton’s coupling. Using CLASS and</w:t>
      </w:r>
      <w:r>
        <w:t xml:space="preserve"> </w:t>
      </w:r>
      <w:r>
        <w:t xml:space="preserve">MontePython with Planck 2018 TT,TE,EE+lowE+lensing+BAO likelihoods we</w:t>
      </w:r>
      <w:r>
        <w:t xml:space="preserve"> </w:t>
      </w:r>
      <w:r>
        <w:t xml:space="preserve">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w:t>
      </w:r>
      <w:r>
        <w:t xml:space="preserve"> </w:t>
      </w:r>
      <w:r>
        <w:t xml:space="preserve">are stable, non-Gaussianity is unobservably small, and the</w:t>
      </w:r>
      <w:r>
        <w:t xml:space="preserve"> </w:t>
      </w:r>
      <w:r>
        <w:t xml:space="preserve">field-dependent cutoff remains above the inflationary scale along the</w:t>
      </w:r>
      <w:r>
        <w:t xml:space="preserve"> </w:t>
      </w:r>
      <w:r>
        <w:t xml:space="preserve">background trajectory. After the field leaves the threshold region the</w:t>
      </w:r>
      <w:r>
        <w:t xml:space="preserve"> </w:t>
      </w:r>
      <w:r>
        <w:t xml:space="preserve">Planck mass relaxes to a constant and standard general relativity is</w:t>
      </w:r>
      <w:r>
        <w:t xml:space="preserve"> </w:t>
      </w:r>
      <w:r>
        <w:t xml:space="preserve">recovered. This scenario provides a concrete realization in which cosmic</w:t>
      </w:r>
      <w:r>
        <w:t xml:space="preserve"> </w:t>
      </w:r>
      <w:r>
        <w:t xml:space="preserve">microwave background observables probe derivatives of the gravitational</w:t>
      </w:r>
      <w:r>
        <w:t xml:space="preserve"> </w:t>
      </w:r>
      <w:r>
        <w:t xml:space="preserve">coupling, offering a phenomenological link between inflationary</w:t>
      </w:r>
      <w:r>
        <w:t xml:space="preserve"> </w:t>
      </w:r>
      <w:r>
        <w:t xml:space="preserve">attractors and running gravitational strength. Running the</w:t>
      </w:r>
      <w:r>
        <w:t xml:space="preserve"> </w:t>
      </w:r>
      <w:r>
        <w:t xml:space="preserve">CLASS–MontePython pipeline with the Planck 2018 TT,TE,EE+lowE+lensing</w:t>
      </w:r>
      <w:r>
        <w:t xml:space="preserve"> </w:t>
      </w:r>
      <w:r>
        <w:t xml:space="preserve">likelihoods yields</w:t>
      </w:r>
      <w:r>
        <w:t xml:space="preserve"> </w:t>
      </w:r>
      <m:oMath>
        <m:r>
          <m:t>21</m:t>
        </m:r>
        <m:r>
          <m:t> </m:t>
        </m:r>
        <m:r>
          <m:t>406</m:t>
        </m:r>
      </m:oMath>
      <w:r>
        <w:t xml:space="preserve"> </w:t>
      </w:r>
      <w:r>
        <w:t xml:space="preserve">post–burn-in samples with an effective sample</w:t>
      </w:r>
      <w:r>
        <w:t xml:space="preserve"> </w:t>
      </w:r>
      <w:r>
        <w:t xml:space="preserve">size of</w:t>
      </w:r>
      <w:r>
        <w:t xml:space="preserve"> </w:t>
      </w:r>
      <m:oMath>
        <m:r>
          <m:rPr>
            <m:sty m:val="p"/>
          </m:rPr>
          <m:t>≃</m:t>
        </m:r>
        <m:r>
          <m:t>6.6</m:t>
        </m:r>
        <m:r>
          <m:rPr>
            <m:sty m:val="p"/>
          </m:rPr>
          <m:t>×</m:t>
        </m:r>
        <m:sSup>
          <m:e>
            <m:r>
              <m:t>10</m:t>
            </m:r>
          </m:e>
          <m:sup>
            <m:r>
              <m:t>3</m:t>
            </m:r>
          </m:sup>
        </m:sSup>
      </m:oMath>
      <w:r>
        <w:t xml:space="preserve">, constraining the ASG bridge parameters</w:t>
      </w:r>
      <w:r>
        <w:t xml:space="preserve"> </w:t>
      </w:r>
      <w:r>
        <w:t xml:space="preserve">to</w:t>
      </w:r>
      <w:r>
        <w:t xml:space="preserve"> </w:t>
      </w:r>
      <m:oMath>
        <m:r>
          <m:t>β</m:t>
        </m:r>
        <m:r>
          <m:rPr>
            <m:sty m:val="p"/>
          </m:rPr>
          <m:t>=</m:t>
        </m:r>
        <m:sSubSup>
          <m:e>
            <m:r>
              <m:t>0.36</m:t>
            </m:r>
          </m:e>
          <m:sub>
            <m:r>
              <m:rPr>
                <m:sty m:val="p"/>
              </m:rPr>
              <m:t>−</m:t>
            </m:r>
            <m:r>
              <m:t>0.19</m:t>
            </m:r>
          </m:sub>
          <m:sup>
            <m:r>
              <m:rPr>
                <m:sty m:val="p"/>
              </m:rPr>
              <m:t>+</m:t>
            </m:r>
            <m:r>
              <m:t>0.20</m:t>
            </m:r>
          </m:sup>
        </m:sSubSup>
      </m:oMath>
      <w:r>
        <w:t xml:space="preserve">,</w:t>
      </w:r>
      <w:r>
        <w:t xml:space="preserve"> </w:t>
      </w:r>
      <m:oMath>
        <m:r>
          <m:rPr>
            <m:sty m:val="p"/>
          </m:rPr>
          <m:t>Δ</m:t>
        </m:r>
        <m:r>
          <m:rPr>
            <m:sty m:val="p"/>
          </m:rPr>
          <m:t>=</m:t>
        </m:r>
        <m:sSubSup>
          <m:e>
            <m:r>
              <m:t>0.70</m:t>
            </m:r>
          </m:e>
          <m:sub>
            <m:r>
              <m:rPr>
                <m:sty m:val="p"/>
              </m:rPr>
              <m:t>−</m:t>
            </m:r>
            <m:r>
              <m:t>0.27</m:t>
            </m:r>
          </m:sub>
          <m:sup>
            <m:r>
              <m:rPr>
                <m:sty m:val="p"/>
              </m:rPr>
              <m:t>+</m:t>
            </m:r>
            <m:r>
              <m:t>0.23</m:t>
            </m:r>
          </m:sup>
        </m:sSubSup>
      </m:oMath>
      <w:r>
        <w:t xml:space="preserve">,</w:t>
      </w:r>
      <w:r>
        <w:t xml:space="preserve"> </w:t>
      </w:r>
      <m:oMath>
        <m:sSub>
          <m:e>
            <m:r>
              <m:t>χ</m:t>
            </m:r>
          </m:e>
          <m:sub>
            <m:r>
              <m:t>0</m:t>
            </m:r>
          </m:sub>
        </m:sSub>
        <m:r>
          <m:rPr>
            <m:sty m:val="p"/>
          </m:rPr>
          <m:t>=</m:t>
        </m:r>
        <m:sSubSup>
          <m:e>
            <m:r>
              <m:t>4.52</m:t>
            </m:r>
          </m:e>
          <m:sub>
            <m:r>
              <m:rPr>
                <m:sty m:val="p"/>
              </m:rPr>
              <m:t>−</m:t>
            </m:r>
            <m:r>
              <m:t>1.16</m:t>
            </m:r>
          </m:sub>
          <m:sup>
            <m:r>
              <m:rPr>
                <m:sty m:val="p"/>
              </m:rPr>
              <m:t>+</m:t>
            </m:r>
            <m:r>
              <m:t>1.50</m:t>
            </m:r>
          </m:sup>
        </m:sSubSup>
        <m:sSub>
          <m:e>
            <m:r>
              <m:t>M</m:t>
            </m:r>
          </m:e>
          <m:sub>
            <m:r>
              <m:rPr>
                <m:sty m:val="p"/>
              </m:rPr>
              <m:t>P</m:t>
            </m:r>
            <m:r>
              <m:rPr>
                <m:sty m:val="p"/>
              </m:rPr>
              <m:t>l</m:t>
            </m:r>
          </m:sub>
        </m:sSub>
      </m:oMath>
      <w:r>
        <w:t xml:space="preserve">,</w:t>
      </w:r>
      <w:r>
        <w:t xml:space="preserve"> </w:t>
      </w:r>
      <w:r>
        <w:t xml:space="preserve">and</w:t>
      </w:r>
      <w:r>
        <w:t xml:space="preserve"> </w:t>
      </w:r>
      <m:oMath>
        <m:r>
          <m:t>μ</m:t>
        </m:r>
        <m:r>
          <m:rPr>
            <m:sty m:val="p"/>
          </m:rPr>
          <m:t>=</m:t>
        </m:r>
        <m:sSubSup>
          <m:e>
            <m:r>
              <m:t>4.25</m:t>
            </m:r>
          </m:e>
          <m:sub>
            <m:r>
              <m:rPr>
                <m:sty m:val="p"/>
              </m:rPr>
              <m:t>−</m:t>
            </m:r>
            <m:r>
              <m:t>0.94</m:t>
            </m:r>
          </m:sub>
          <m:sup>
            <m:r>
              <m:rPr>
                <m:sty m:val="p"/>
              </m:rPr>
              <m:t>+</m:t>
            </m:r>
            <m:r>
              <m:t>1.06</m:t>
            </m:r>
          </m:sup>
        </m:sSubSup>
        <m:sSub>
          <m:e>
            <m:r>
              <m:t>M</m:t>
            </m:r>
          </m:e>
          <m:sub>
            <m:r>
              <m:rPr>
                <m:sty m:val="p"/>
              </m:rPr>
              <m:t>P</m:t>
            </m:r>
            <m:r>
              <m:rPr>
                <m:sty m:val="p"/>
              </m:rPr>
              <m:t>l</m:t>
            </m:r>
          </m:sub>
        </m:sSub>
      </m:oMath>
      <w:r>
        <w:t xml:space="preserve"> </w:t>
      </w:r>
      <w:r>
        <w:t xml:space="preserve">(68% C.L.), confirming that the</w:t>
      </w:r>
      <w:r>
        <w:t xml:space="preserve"> </w:t>
      </w:r>
      <w:r>
        <w:t xml:space="preserve">threshold deformation is statistically preferred over the</w:t>
      </w:r>
      <w:r>
        <w:t xml:space="preserve"> </w:t>
      </w:r>
      <m:oMath>
        <m:r>
          <m:t>β</m:t>
        </m:r>
        <m:r>
          <m:rPr>
            <m:sty m:val="p"/>
          </m:rPr>
          <m:t>→</m:t>
        </m:r>
        <m:r>
          <m:t>0</m:t>
        </m:r>
      </m:oMath>
      <w:r>
        <w:t xml:space="preserve"> </w:t>
      </w:r>
      <w:r>
        <w:t xml:space="preserve">limit.</w:t>
      </w:r>
    </w:p>
    <w:bookmarkStart w:id="9" w:name="introduction"/>
    <w:p>
      <w:pPr>
        <w:pStyle w:val="Heading1"/>
      </w:pPr>
      <w:r>
        <w:t xml:space="preserve">Introduction</w:t>
      </w:r>
    </w:p>
    <w:p>
      <w:pPr>
        <w:pStyle w:val="FirstParagraph"/>
      </w:pPr>
      <w:r>
        <w:t xml:space="preserve">The physical origin of the inflationary attractor remains unclear: in</w:t>
      </w:r>
      <w:r>
        <w:t xml:space="preserve"> </w:t>
      </w:r>
      <w:r>
        <w:t xml:space="preserve">most constructions it is attributed to a specially shaped scalar</w:t>
      </w:r>
      <w:r>
        <w:t xml:space="preserve"> </w:t>
      </w:r>
      <w:r>
        <w:t xml:space="preserve">potential, while the role of gravitational dynamics is assumed passive.</w:t>
      </w:r>
      <w:r>
        <w:t xml:space="preserve"> </w:t>
      </w:r>
      <w:r>
        <w:t xml:space="preserve">In this work we investigate an alternative possibility in which the</w:t>
      </w:r>
      <w:r>
        <w:t xml:space="preserve"> </w:t>
      </w:r>
      <w:r>
        <w:t xml:space="preserve">attractor arises from a running Planck mass, corresponding to a</w:t>
      </w:r>
      <w:r>
        <w:t xml:space="preserve"> </w:t>
      </w:r>
      <w:r>
        <w:t xml:space="preserve">temporary weakening of gravity during horizon exit rather than a</w:t>
      </w:r>
      <w:r>
        <w:t xml:space="preserve"> </w:t>
      </w:r>
      <w:r>
        <w:t xml:space="preserve">microscopic flattening of the potential. The ASG scenario posits that</w:t>
      </w:r>
      <w:r>
        <w:t xml:space="preserve"> </w:t>
      </w:r>
      <w:r>
        <w:t xml:space="preserve">threshold effects in a heavy sector feed into this running Planck mass,</w:t>
      </w:r>
      <w:r>
        <w:t xml:space="preserve"> </w:t>
      </w:r>
      <w:r>
        <w:t xml:space="preserve">flattening the scalar potential in the Einstein frame and producing a</w:t>
      </w:r>
      <w:r>
        <w:t xml:space="preserve"> </w:t>
      </w:r>
      <w:r>
        <w:t xml:space="preserve">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w:t>
      </w:r>
      <w:r>
        <w:t xml:space="preserve"> </w:t>
      </w:r>
      <w:r>
        <w:t xml:space="preserve">Planck 2018 TT,TE,EE+lowE+lensing+BAO data . As with</w:t>
      </w:r>
      <w:r>
        <w:t xml:space="preserve"> </w:t>
      </w:r>
      <m:oMath>
        <m:r>
          <m:t>α</m:t>
        </m:r>
      </m:oMath>
      <w:r>
        <w:t xml:space="preserve">-attractors , the attractor behaviour is insensitive to</w:t>
      </w:r>
      <w:r>
        <w:t xml:space="preserve"> </w:t>
      </w:r>
      <w:r>
        <w:t xml:space="preserve">microphysical details provided the kinetic manifold exhibits a pole of</w:t>
      </w:r>
      <w:r>
        <w:t xml:space="preserve"> </w:t>
      </w:r>
      <w:r>
        <w:t xml:space="preserve">order two; this motivates presenting the ASG construction using</w:t>
      </w:r>
      <w:r>
        <w:t xml:space="preserve"> </w:t>
      </w:r>
      <w:r>
        <w:t xml:space="preserve">manifestly well-defined notation and citations to the existing</w:t>
      </w:r>
      <w:r>
        <w:t xml:space="preserve"> </w:t>
      </w:r>
      <w:r>
        <w:t xml:space="preserve">literature. The structure of the paper is as follows. In Sec. II we</w:t>
      </w:r>
      <w:r>
        <w:t xml:space="preserve"> </w:t>
      </w:r>
      <w:r>
        <w:t xml:space="preserve">formulate the running Planck-mass framework and derive the</w:t>
      </w:r>
      <w:r>
        <w:t xml:space="preserve"> </w:t>
      </w:r>
      <w:r>
        <w:t xml:space="preserve">Einstein-frame dynamics. Sec. III shows how the attractor behaviour</w:t>
      </w:r>
      <w:r>
        <w:t xml:space="preserve"> </w:t>
      </w:r>
      <w:r>
        <w:t xml:space="preserve">emerges from differential gravitational screening and relates it to pole</w:t>
      </w:r>
      <w:r>
        <w:t xml:space="preserve"> </w:t>
      </w:r>
      <w:r>
        <w:t xml:space="preserve">inflation geometry. In Sec. IV we compute inflationary observables and</w:t>
      </w:r>
      <w:r>
        <w:t xml:space="preserve"> </w:t>
      </w:r>
      <w:r>
        <w:t xml:space="preserve">confront the model with Planck 2018 likelihoods using CLASS and</w:t>
      </w:r>
      <w:r>
        <w:t xml:space="preserve"> </w:t>
      </w:r>
      <w:r>
        <w:t xml:space="preserve">MontePython. Sec. V analyses perturbative stability, the field-dependent</w:t>
      </w:r>
      <w:r>
        <w:t xml:space="preserve"> </w:t>
      </w:r>
      <w:r>
        <w:t xml:space="preserve">cutoff, and the recovery of standard gravity after the threshold region.</w:t>
      </w:r>
      <w:r>
        <w:t xml:space="preserve"> </w:t>
      </w:r>
      <w:r>
        <w:t xml:space="preserve">Finally, Sec. VI discusses the interpretation of the construction as an</w:t>
      </w:r>
      <w:r>
        <w:t xml:space="preserve"> </w:t>
      </w:r>
      <w:r>
        <w:t xml:space="preserve">RG-improved effective description and outlines phenomenological</w:t>
      </w:r>
      <w:r>
        <w:t xml:space="preserve"> </w:t>
      </w:r>
      <w:r>
        <w:t xml:space="preserve">implications.</w:t>
      </w:r>
    </w:p>
    <w:p>
      <w:pPr>
        <w:pStyle w:val="BodyText"/>
      </w:pPr>
      <w:r>
        <w:t xml:space="preserve">In this work we investigate an inflationary mechanism in which the attractor behaviour arises from the running of the gravitational coupling rather than from a specially tuned scalar potential. Threshold effects in a heavy sector induce a temporary variation of the effective Planck mass</w:t>
      </w:r>
      <w:r>
        <w:t xml:space="preserve"> </w:t>
      </w:r>
      <m:oMath>
        <m:r>
          <m:t>F</m:t>
        </m:r>
        <m:r>
          <m:rPr>
            <m:sty m:val="p"/>
          </m:rPr>
          <m:t>(</m:t>
        </m:r>
        <m:r>
          <m:t>χ</m:t>
        </m:r>
        <m:r>
          <m:rPr>
            <m:sty m:val="p"/>
          </m:rPr>
          <m:t>)</m:t>
        </m:r>
      </m:oMath>
      <w:r>
        <w:t xml:space="preserve">, which screens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during horizon exit. This screening dynamically generates an inflationary plateau even when the microscopic potential remains comparatively steep. We show that when derivatives of the running Planck mass dominate the kinetic manifold, the theory approaches the universal pole structure associated with single-field attractor inflation. In this sense the construction does not introduce a new attractor class but provides a dynamical realization of attractor geometry in which the flattening of the potential originates from RG-threshold running of Newton’s coupling. The resulting predictions for</w:t>
      </w:r>
      <w:r>
        <w:t xml:space="preserve"> </w:t>
      </w:r>
      <m:oMath>
        <m:r>
          <m:rPr>
            <m:sty m:val="p"/>
          </m:rPr>
          <m:t>(</m:t>
        </m:r>
        <m:sSub>
          <m:e>
            <m:r>
              <m:t>n</m:t>
            </m:r>
          </m:e>
          <m:sub>
            <m:r>
              <m:t>s</m:t>
            </m:r>
          </m:sub>
        </m:sSub>
        <m:r>
          <m:rPr>
            <m:sty m:val="p"/>
          </m:rPr>
          <m:t>,</m:t>
        </m:r>
        <m:r>
          <m:t>r</m:t>
        </m:r>
        <m:r>
          <m:rPr>
            <m:sty m:val="p"/>
          </m:rPr>
          <m:t>)</m:t>
        </m:r>
      </m:oMath>
      <w:r>
        <w:t xml:space="preserve"> </w:t>
      </w:r>
      <w:r>
        <w:t xml:space="preserve">lie within the Planck-preferred region while allowing an enhanced running of the scalar tilt that offers a potential observational discriminator for upcoming CMB experiments.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sSup>
          <m:e>
            <m:r>
              <m:rPr>
                <m:sty m:val="p"/>
              </m:rPr>
              <m:t>_</m:t>
            </m:r>
          </m:e>
          <m:sup>
            <m:r>
              <m:t>2</m:t>
            </m:r>
          </m:sup>
        </m:sSup>
        <m:r>
          <m:rPr>
            <m:sty m:val="p"/>
          </m:rPr>
          <m:t>(</m:t>
        </m:r>
        <m:r>
          <m:rPr>
            <m:sty m:val="p"/>
          </m:rPr>
          <m:t>)</m:t>
        </m:r>
      </m:oMath>
      <w:r>
        <w:t xml:space="preserve">” 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w:t>
      </w:r>
      <w:r>
        <w:t xml:space="preserve"> </w:t>
      </w:r>
      <w:r>
        <w:t xml:space="preserve">controlled by the differential screening between the bare potential and</w:t>
      </w:r>
      <w:r>
        <w:t xml:space="preserve"> </w:t>
      </w:r>
      <w:r>
        <w:t xml:space="preserve">the running Planck mass,</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 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w:t>
      </w:r>
      <w:r>
        <w:t xml:space="preserve"> </w:t>
      </w:r>
      <w:r>
        <w:t xml:space="preserve">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w:t>
      </w:r>
      <w:r>
        <w:t xml:space="preserve"> </w:t>
      </w:r>
      <w:r>
        <w:t xml:space="preserve">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 The plateau form forces the potential</w:t>
      </w:r>
      <w:r>
        <w:t xml:space="preserve"> </w:t>
      </w:r>
      <w:r>
        <w:t xml:space="preserve">slow-roll parameters toward the universal pole predictions,</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w:t>
      </w:r>
      <w:r>
        <w:t xml:space="preserve"> </w:t>
      </w:r>
      <w:r>
        <w:t xml:space="preserve">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w:t>
      </w:r>
      <w:r>
        <w:t xml:space="preserve"> </w:t>
      </w:r>
      <w:r>
        <w:t xml:space="preserve">horizon exit. 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t>P</m:t>
            </m:r>
            <m:r>
              <m:t>l</m:t>
            </m:r>
          </m:sub>
        </m:sSub>
        <m:r>
          <m:rPr>
            <m:sty m:val="p"/>
          </m:rPr>
          <m:t>,</m:t>
        </m:r>
        <m:r>
          <m:t>5</m:t>
        </m:r>
        <m:r>
          <m:t> </m:t>
        </m:r>
        <m:sSub>
          <m:e>
            <m:r>
              <m:t>M</m:t>
            </m:r>
          </m:e>
          <m:sub>
            <m:r>
              <m:t>P</m:t>
            </m:r>
            <m: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t>M</m:t>
            </m:r>
            <m:r>
              <m:t>p</m:t>
            </m:r>
            <m:r>
              <m:t>c</m:t>
            </m:r>
          </m:e>
          <m:sup>
            <m:r>
              <m:rPr>
                <m:sty m:val="p"/>
              </m:rPr>
              <m:t>−</m:t>
            </m:r>
            <m:r>
              <m:t>1</m:t>
            </m:r>
          </m:sup>
        </m:sSup>
      </m:oMath>
      <w:r>
        <w:t xml:space="preserve">, compatible with the</w:t>
      </w:r>
      <w:r>
        <w:t xml:space="preserve"> </w:t>
      </w:r>
      <m:oMath>
        <m:r>
          <m:t>α</m:t>
        </m:r>
      </m:oMath>
      <w:r>
        <w:t xml:space="preserve">-attractor envelope . Observable amplitudes are normalized via</w:t>
      </w:r>
      <w:r>
        <w:t xml:space="preserve"> </w:t>
      </w:r>
      <m:oMath>
        <m:sSubSup>
          <m:e>
            <m:r>
              <m:t>M</m:t>
            </m:r>
          </m:e>
          <m:sub>
            <m:r>
              <m:t>P</m:t>
            </m:r>
            <m: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w:t>
      </w:r>
      <w:r>
        <w:t xml:space="preserve"> </w:t>
      </w:r>
      <w:r>
        <w:t xml:space="preserve">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p>
      <w:pPr>
        <w:pStyle w:val="BodyText"/>
      </w:pPr>
      <w:r>
        <w:t xml:space="preserve">At the level of the lowest-order observables</w:t>
      </w:r>
      <w:r>
        <w:t xml:space="preserve"> </w:t>
      </w:r>
      <m:oMath>
        <m:r>
          <m:rPr>
            <m:sty m:val="p"/>
          </m:rPr>
          <m:t>(</m:t>
        </m:r>
        <m:sSub>
          <m:e>
            <m:r>
              <m:t>n</m:t>
            </m:r>
          </m:e>
          <m:sub>
            <m:r>
              <m:t>s</m:t>
            </m:r>
          </m:sub>
        </m:sSub>
        <m:r>
          <m:rPr>
            <m:sty m:val="p"/>
          </m:rPr>
          <m:t>,</m:t>
        </m:r>
        <m:r>
          <m:t>r</m:t>
        </m:r>
        <m:r>
          <m:rPr>
            <m:sty m:val="p"/>
          </m:rPr>
          <m:t>)</m:t>
        </m:r>
      </m:oMath>
      <w:r>
        <w:t xml:space="preserve"> </w:t>
      </w:r>
      <w:r>
        <w:t xml:space="preserve">the scenario</w:t>
      </w:r>
      <w:r>
        <w:t xml:space="preserve"> </w:t>
      </w:r>
      <w:r>
        <w:t xml:space="preserve">lies within the single-pole attractor universality class, but the</w:t>
      </w:r>
      <w:r>
        <w:t xml:space="preserve"> </w:t>
      </w:r>
      <w:r>
        <w:t xml:space="preserve">running of the scalar tilt is controlled by derivatives of the</w:t>
      </w:r>
      <w:r>
        <w:t xml:space="preserve"> </w:t>
      </w:r>
      <w:r>
        <w:t xml:space="preserve">gravitational coupling, schematically</w:t>
      </w:r>
      <w:r>
        <w:t xml:space="preserve"> </w:t>
      </w:r>
      <m:oMath>
        <m:sSub>
          <m:e>
            <m:r>
              <m:t>α</m:t>
            </m:r>
          </m:e>
          <m:sub>
            <m:r>
              <m:t>s</m:t>
            </m:r>
          </m:sub>
        </m:sSub>
        <m:r>
          <m:rPr>
            <m:sty m:val="p"/>
          </m:rPr>
          <m:t>∝</m:t>
        </m:r>
        <m:sSup>
          <m:e>
            <m:r>
              <m:t>F</m:t>
            </m:r>
          </m:e>
          <m:sup>
            <m:r>
              <m:rPr>
                <m:sty m:val="p"/>
              </m:rPr>
              <m:t>‴</m:t>
            </m:r>
          </m:sup>
        </m:sSup>
        <m:r>
          <m:rPr>
            <m:sty m:val="p"/>
          </m:rPr>
          <m:t>/</m:t>
        </m:r>
        <m:r>
          <m:t>F</m:t>
        </m:r>
      </m:oMath>
      <w:r>
        <w:t xml:space="preserve">.</w:t>
      </w:r>
      <w:r>
        <w:t xml:space="preserve"> </w:t>
      </w:r>
      <w:r>
        <w:t xml:space="preserve">Consequently the ASG threshold can deliver</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without spoiling the Planck-preferred value of</w:t>
      </w:r>
      <w:r>
        <w:t xml:space="preserve"> </w:t>
      </w:r>
      <m:oMath>
        <m:sSub>
          <m:e>
            <m:r>
              <m:t>n</m:t>
            </m:r>
          </m:e>
          <m:sub>
            <m:r>
              <m:t>s</m:t>
            </m:r>
          </m:sub>
        </m:sSub>
      </m:oMath>
      <w:r>
        <w:t xml:space="preserve">, whereas</w:t>
      </w:r>
      <w:r>
        <w:t xml:space="preserve"> </w:t>
      </w:r>
      <w:r>
        <w:t xml:space="preserve">canonical</w:t>
      </w:r>
      <w:r>
        <w:t xml:space="preserve"> </w:t>
      </w:r>
      <m:oMath>
        <m:r>
          <m:t>α</m:t>
        </m:r>
      </m:oMath>
      <w:r>
        <w:t xml:space="preserve">-attractors rigidly predict</w:t>
      </w:r>
      <w:r>
        <w:t xml:space="preserve"> </w:t>
      </w:r>
      <m:oMath>
        <m:sSub>
          <m:e>
            <m:r>
              <m:t>α</m:t>
            </m:r>
          </m:e>
          <m:sub>
            <m:r>
              <m:t>s</m:t>
            </m:r>
          </m:sub>
        </m:sSub>
        <m:r>
          <m:rPr>
            <m:sty m:val="p"/>
          </m:rPr>
          <m:t>≃</m:t>
        </m:r>
        <m:r>
          <m:rPr>
            <m:sty m:val="p"/>
          </m:rPr>
          <m:t>−</m:t>
        </m:r>
        <m:r>
          <m:t>2</m:t>
        </m:r>
        <m:r>
          <m:rPr>
            <m:sty m:val="p"/>
          </m:rPr>
          <m:t>/</m:t>
        </m:r>
        <m:sSup>
          <m:e>
            <m:r>
              <m:t>N</m:t>
            </m:r>
          </m:e>
          <m:sup>
            <m:r>
              <m:t>2</m:t>
            </m:r>
          </m:sup>
        </m:sSup>
      </m:oMath>
      <w:r>
        <w:t xml:space="preserve">.</w:t>
      </w:r>
      <w:r>
        <w:t xml:space="preserve"> </w:t>
      </w:r>
      <w:r>
        <w:t xml:space="preserve">This provides a concrete observational discriminator for LiteBIRD and</w:t>
      </w:r>
      <w:r>
        <w:t xml:space="preserve"> </w:t>
      </w:r>
      <w:r>
        <w:t xml:space="preserve">CMB-S4.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Mechanism</w:t>
            </w:r>
          </w:p>
        </w:tc>
        <w:tc>
          <w:tcPr/>
          <w:p>
            <w:pPr>
              <w:pStyle w:val="Compact"/>
              <w:jc w:val="left"/>
            </w:pPr>
            <m:oMath>
              <m:sSub>
                <m:e>
                  <m:r>
                    <m:t>α</m:t>
                  </m:r>
                </m:e>
                <m:sub>
                  <m:r>
                    <m:t>s</m:t>
                  </m:r>
                </m:sub>
              </m:sSub>
            </m:oMath>
            <w:r>
              <w:t xml:space="preserve"> </w:t>
            </w:r>
            <w:r>
              <w:t xml:space="preserve">prediction</w:t>
            </w:r>
          </w:p>
        </w:tc>
      </w:tr>
      <w:tr>
        <w:tc>
          <w:tcPr/>
          <w:p>
            <w:pPr>
              <w:pStyle w:val="Compact"/>
              <w:jc w:val="left"/>
            </w:pPr>
            <m:oMath>
              <m:r>
                <m:t>α</m:t>
              </m:r>
            </m:oMath>
            <w:r>
              <w:t xml:space="preserve">-attractor</w:t>
            </w:r>
          </w:p>
        </w:tc>
        <w:tc>
          <w:tcPr/>
          <w:p>
            <w:pPr>
              <w:pStyle w:val="Compact"/>
              <w:jc w:val="left"/>
            </w:pPr>
            <w:r>
              <w:t xml:space="preserve">Geometric pole metric</w:t>
            </w:r>
          </w:p>
        </w:tc>
        <w:tc>
          <w:tcPr/>
          <w:p>
            <w:pPr>
              <w:pStyle w:val="Compact"/>
              <w:jc w:val="left"/>
            </w:pPr>
            <m:oMath>
              <m:r>
                <m:rPr>
                  <m:sty m:val="p"/>
                </m:rPr>
                <m:t>≃</m:t>
              </m:r>
              <m:r>
                <m:rPr>
                  <m:sty m:val="p"/>
                </m:rPr>
                <m:t>−</m:t>
              </m:r>
              <m:r>
                <m:t>2</m:t>
              </m:r>
              <m:r>
                <m:rPr>
                  <m:sty m:val="p"/>
                </m:rPr>
                <m:t>/</m:t>
              </m:r>
              <m:sSup>
                <m:e>
                  <m:r>
                    <m:t>N</m:t>
                  </m:r>
                </m:e>
                <m:sup>
                  <m:r>
                    <m:t>2</m:t>
                  </m:r>
                </m:sup>
              </m:sSup>
            </m:oMath>
          </w:p>
        </w:tc>
      </w:tr>
      <w:tr>
        <w:tc>
          <w:tcPr/>
          <w:p>
            <w:pPr>
              <w:pStyle w:val="Compact"/>
              <w:jc w:val="left"/>
            </w:pPr>
            <w:r>
              <w:t xml:space="preserve">ASG threshold</w:t>
            </w:r>
          </w:p>
        </w:tc>
        <w:tc>
          <w:tcPr/>
          <w:p>
            <w:pPr>
              <w:pStyle w:val="Compact"/>
              <w:jc w:val="left"/>
            </w:pPr>
            <w:r>
              <w:t xml:space="preserve">Running</w:t>
            </w:r>
            <w:r>
              <w:t xml:space="preserve"> </w:t>
            </w:r>
            <m:oMath>
              <m:r>
                <m:t>F</m:t>
              </m:r>
              <m:r>
                <m:rPr>
                  <m:sty m:val="p"/>
                </m:rPr>
                <m:t>(</m:t>
              </m:r>
              <m:r>
                <m:t>χ</m:t>
              </m:r>
              <m:r>
                <m:rPr>
                  <m:sty m:val="p"/>
                </m:rPr>
                <m:t>)</m:t>
              </m:r>
            </m:oMath>
          </w:p>
        </w:tc>
        <w:tc>
          <w:tcPr/>
          <w:p>
            <w:pPr>
              <w:pStyle w:val="Compact"/>
              <w:jc w:val="left"/>
            </w:pPr>
            <m:oMath>
              <m:r>
                <m:rPr>
                  <m:scr m:val="script"/>
                  <m:sty m:val="p"/>
                </m:rPr>
                <m:t>O</m:t>
              </m:r>
              <m:r>
                <m:rPr>
                  <m:sty m:val="p"/>
                </m:rPr>
                <m:t>(</m:t>
              </m:r>
              <m:sSup>
                <m:e>
                  <m:r>
                    <m:t>10</m:t>
                  </m:r>
                </m:e>
                <m:sup>
                  <m:r>
                    <m:rPr>
                      <m:sty m:val="p"/>
                    </m:rPr>
                    <m:t>−</m:t>
                  </m:r>
                  <m:r>
                    <m:t>3</m:t>
                  </m:r>
                </m:sup>
              </m:sSup>
              <m:r>
                <m:rPr>
                  <m:sty m:val="p"/>
                </m:rPr>
                <m:t>)</m:t>
              </m:r>
            </m:oMath>
            <w:r>
              <w:t xml:space="preserve"> </w:t>
            </w:r>
            <w:r>
              <w:t xml:space="preserve">allowed</w:t>
            </w:r>
          </w:p>
        </w:tc>
      </w:tr>
    </w:tbl>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 . We record chains, covariance</w:t>
      </w:r>
      <w:r>
        <w:t xml:space="preserve"> </w:t>
      </w:r>
      <w:r>
        <w:t xml:space="preserve">matrices, and configuration files for each MCMC campaign to guarantee</w:t>
      </w:r>
      <w:r>
        <w:t xml:space="preserve"> </w:t>
      </w:r>
      <w:r>
        <w:t xml:space="preserve">traceability. Derived constraints are summarized in</w:t>
      </w:r>
      <w:r>
        <w:t xml:space="preserve"> </w:t>
      </w:r>
      <w:r>
        <w:t xml:space="preserve">Table </w:t>
      </w:r>
      <w:hyperlink w:anchor="tab:constraints">
        <w:r>
          <w:rPr>
            <w:rStyle w:val="Hyperlink"/>
          </w:rPr>
          <w:t xml:space="preserve">1</w:t>
        </w:r>
      </w:hyperlink>
      <w:r>
        <w:t xml:space="preserve"> </w:t>
      </w:r>
      <w:r>
        <w:t xml:space="preserve">and visualized via the figures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p>
      <w:pPr>
        <w:pStyle w:val="BodyText"/>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p>
      <w:pPr>
        <w:pStyle w:val="BodyText"/>
      </w:pPr>
      <w:r>
        <w:t xml:space="preserve">The production chain comprises</w:t>
      </w:r>
      <w:r>
        <w:t xml:space="preserve"> </w:t>
      </w:r>
      <m:oMath>
        <m:r>
          <m:t>21</m:t>
        </m:r>
        <m:r>
          <m:t> </m:t>
        </m:r>
        <m:r>
          <m:t>909</m:t>
        </m:r>
      </m:oMath>
      <w:r>
        <w:t xml:space="preserve"> </w:t>
      </w:r>
      <w:r>
        <w:t xml:space="preserve">raw samples, of which the first</w:t>
      </w:r>
      <w:r>
        <w:t xml:space="preserve"> </w:t>
      </w:r>
      <w:r>
        <w:t xml:space="preserve">503 (</w:t>
      </w:r>
      <m:oMath>
        <m:r>
          <m:rPr>
            <m:sty m:val="p"/>
          </m:rPr>
          <m:t>≈</m:t>
        </m:r>
        <m:r>
          <m:t>2.3</m:t>
        </m:r>
        <m:r>
          <m:rPr>
            <m:sty m:val="p"/>
          </m:rPr>
          <m:t>%</m:t>
        </m:r>
      </m:oMath>
      <w:r>
        <w:t xml:space="preserve">) are discarded based on the</w:t>
      </w:r>
      <w:r>
        <w:t xml:space="preserve"> </w:t>
      </w:r>
      <m:oMath>
        <m:r>
          <m:rPr>
            <m:sty m:val="p"/>
          </m:rPr>
          <m:t>−</m:t>
        </m:r>
        <m:r>
          <m:rPr>
            <m:sty m:val="p"/>
          </m:rPr>
          <m:t>ln</m:t>
        </m:r>
        <m:r>
          <m:rPr>
            <m:scr m:val="script"/>
            <m:sty m:val="p"/>
          </m:rPr>
          <m:t>L</m:t>
        </m:r>
      </m:oMath>
      <w:r>
        <w:t xml:space="preserve"> </w:t>
      </w:r>
      <w:r>
        <w:t xml:space="preserve">plateau. The</w:t>
      </w:r>
      <w:r>
        <w:t xml:space="preserve"> </w:t>
      </w:r>
      <w:r>
        <w:t xml:space="preserve">remaining</w:t>
      </w:r>
      <w:r>
        <w:t xml:space="preserve"> </w:t>
      </w:r>
      <m:oMath>
        <m:r>
          <m:t>21</m:t>
        </m:r>
        <m:r>
          <m:t> </m:t>
        </m:r>
        <m:r>
          <m:t>406</m:t>
        </m:r>
      </m:oMath>
      <w:r>
        <w:t xml:space="preserve"> </w:t>
      </w:r>
      <w:r>
        <w:t xml:space="preserve">weighted samples yield an effective sample size of</w:t>
      </w:r>
      <w:r>
        <w:t xml:space="preserve"> </w:t>
      </w:r>
      <m:oMath>
        <m:r>
          <m:t>6.6</m:t>
        </m:r>
        <m:r>
          <m:rPr>
            <m:sty m:val="p"/>
          </m:rPr>
          <m:t>×</m:t>
        </m:r>
        <m:sSup>
          <m:e>
            <m:r>
              <m:t>10</m:t>
            </m:r>
          </m:e>
          <m:sup>
            <m:r>
              <m:t>3</m:t>
            </m:r>
          </m:sup>
        </m:sSup>
      </m:oMath>
      <w:r>
        <w:t xml:space="preserve">, a maximal MontePython weight of 70, and a median</w:t>
      </w:r>
      <w:r>
        <w:t xml:space="preserve"> </w:t>
      </w:r>
      <w:r>
        <w:t xml:space="preserve">weight of unity, indicating stable importance sampling without single</w:t>
      </w:r>
      <w:r>
        <w:t xml:space="preserve"> </w:t>
      </w:r>
      <w:r>
        <w:t xml:space="preserve">point domination. Table </w:t>
      </w:r>
      <w:hyperlink w:anchor="tab:asg-hyper">
        <w:r>
          <w:rPr>
            <w:rStyle w:val="Hyperlink"/>
          </w:rPr>
          <w:t xml:space="preserve">2</w:t>
        </w:r>
      </w:hyperlink>
      <w:r>
        <w:t xml:space="preserve"> </w:t>
      </w:r>
      <w:r>
        <w:t xml:space="preserve">summarizes the ASG bridge</w:t>
      </w:r>
      <w:r>
        <w:t xml:space="preserve"> </w:t>
      </w:r>
      <w:r>
        <w:t xml:space="preserve">hyper-parameters inferred from the same run; the</w:t>
      </w:r>
      <w:r>
        <w:t xml:space="preserve"> </w:t>
      </w:r>
      <m:oMath>
        <m:r>
          <m:t>68</m:t>
        </m:r>
        <m:r>
          <m:rPr>
            <m:sty m:val="p"/>
          </m:rPr>
          <m:t>%</m:t>
        </m:r>
      </m:oMath>
      <w:r>
        <w:t xml:space="preserve"> </w:t>
      </w:r>
      <w:r>
        <w:t xml:space="preserve">posterior bands</w:t>
      </w:r>
      <w:r>
        <w:t xml:space="preserve"> </w:t>
      </w:r>
      <w:r>
        <w:t xml:space="preserve">show that</w:t>
      </w:r>
      <w:r>
        <w:t xml:space="preserve"> </w:t>
      </w:r>
      <m:oMath>
        <m:r>
          <m:t>β</m:t>
        </m:r>
      </m:oMath>
      <w:r>
        <w:t xml:space="preserve">,</w:t>
      </w:r>
      <w:r>
        <w:t xml:space="preserve"> </w:t>
      </w:r>
      <m:oMath>
        <m:r>
          <m:rPr>
            <m:sty m:val="p"/>
          </m:rPr>
          <m:t>Δ</m:t>
        </m:r>
      </m:oMath>
      <w:r>
        <w:t xml:space="preserve">,</w:t>
      </w:r>
      <w:r>
        <w:t xml:space="preserve"> </w:t>
      </w:r>
      <m:oMath>
        <m:sSub>
          <m:e>
            <m:r>
              <m:t>χ</m:t>
            </m:r>
          </m:e>
          <m:sub>
            <m:r>
              <m:t>0</m:t>
            </m:r>
          </m:sub>
        </m:sSub>
      </m:oMath>
      <w:r>
        <w:t xml:space="preserve">, and</w:t>
      </w:r>
      <w:r>
        <w:t xml:space="preserve"> </w:t>
      </w:r>
      <m:oMath>
        <m:r>
          <m:t>μ</m:t>
        </m:r>
      </m:oMath>
      <w:r>
        <w:t xml:space="preserve"> </w:t>
      </w:r>
      <w:r>
        <w:t xml:space="preserve">are all pulled away</w:t>
      </w:r>
      <w:r>
        <w:t xml:space="preserve"> </w:t>
      </w:r>
      <w:r>
        <w:t xml:space="preserve">from their</w:t>
      </w:r>
      <w:r>
        <w:t xml:space="preserve"> </w:t>
      </w:r>
      <m:oMath>
        <m:r>
          <m:t>α</m:t>
        </m:r>
      </m:oMath>
      <w:r>
        <w:t xml:space="preserve">-attractor limits. The posterior KDEs and the ASG</w:t>
      </w:r>
      <w:r>
        <w:t xml:space="preserve"> </w:t>
      </w:r>
      <w:r>
        <w:t xml:space="preserve">corner plot used in Sec. </w:t>
      </w:r>
      <w:hyperlink w:anchor="non-degeneracy-with-alpha-attractors">
        <w:r>
          <w:rPr>
            <w:rStyle w:val="Hyperlink"/>
          </w:rPr>
          <w:t xml:space="preserve">Non-degeneracy with</w:t>
        </w:r>
        <w:r>
          <w:rPr>
            <w:rStyle w:val="Hyperlink"/>
          </w:rPr>
          <w:t xml:space="preserve"> </w:t>
        </w:r>
        <m:oMath>
          <m:r>
            <m:t>α</m:t>
          </m:r>
        </m:oMath>
        <w:r>
          <w:rPr>
            <w:rStyle w:val="Hyperlink"/>
          </w:rPr>
          <w:t xml:space="preserve">-attractors</w:t>
        </w:r>
      </w:hyperlink>
      <w:r>
        <w:t xml:space="preserve"> </w:t>
      </w:r>
      <w:r>
        <w:t xml:space="preserve">are archived in</w:t>
      </w:r>
      <w:r>
        <w:t xml:space="preserve"> </w:t>
      </w:r>
      <w:r>
        <w:rPr>
          <w:rStyle w:val="VerbatimChar"/>
        </w:rPr>
        <w:t xml:space="preserve">figures/asg_chain/{fig_cosmo_1d,fig_asg_1d,corner_asg}.{png,pdf}</w:t>
      </w:r>
      <w:r>
        <w:t xml:space="preserve">.</w:t>
      </w:r>
    </w:p>
    <w:bookmarkStart w:id="13" w:name="tab:asg-hyper"/>
    <w:p>
      <w:pPr>
        <w:pStyle w:val="TableCaption"/>
      </w:pPr>
      <w:r>
        <w:t xml:space="preserve">ASG posterior summary</w:t>
      </w:r>
      <w:r>
        <w:t xml:space="preserve"> </w:t>
      </w:r>
      <w:r>
        <w:t xml:space="preserve">:</w:t>
      </w:r>
    </w:p>
    <w:tbl>
      <w:tblPr>
        <w:tblStyle w:val="Table"/>
        <w:tblW w:type="pct" w:w="5000"/>
        <w:tblLayout w:type="fixed"/>
        <w:tblLook w:firstRow="1" w:lastRow="0" w:firstColumn="0" w:lastColumn="0" w:noHBand="0" w:noVBand="0" w:val="0020"/>
        <w:tblCaption w:val="ASG posterior summary :"/>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c>
          <w:tcPr/>
          <w:p>
            <w:pPr>
              <w:pStyle w:val="Compact"/>
              <w:jc w:val="center"/>
            </w:pPr>
            <w:r>
              <w:t xml:space="preserve">95% C.I.</w:t>
            </w:r>
          </w:p>
        </w:tc>
      </w:tr>
      <w:tr>
        <w:tc>
          <w:tcPr/>
          <w:p>
            <w:pPr>
              <w:pStyle w:val="Compact"/>
              <w:jc w:val="left"/>
            </w:pPr>
            <m:oMath>
              <m:r>
                <m:t>β</m:t>
              </m:r>
            </m:oMath>
          </w:p>
        </w:tc>
        <w:tc>
          <w:tcPr/>
          <w:p>
            <w:pPr>
              <w:pStyle w:val="Compact"/>
              <w:jc w:val="center"/>
            </w:pPr>
            <w:r>
              <w:t xml:space="preserve">0.36</w:t>
            </w:r>
          </w:p>
        </w:tc>
        <w:tc>
          <w:tcPr/>
          <w:p>
            <w:pPr>
              <w:pStyle w:val="Compact"/>
              <w:jc w:val="center"/>
            </w:pPr>
            <m:oMath>
              <m:r>
                <m:rPr>
                  <m:sty m:val="p"/>
                </m:rPr>
                <m:t>[</m:t>
              </m:r>
              <m:r>
                <m:t>0.18</m:t>
              </m:r>
              <m:r>
                <m:rPr>
                  <m:sty m:val="p"/>
                </m:rPr>
                <m:t>,</m:t>
              </m:r>
              <m:r>
                <m:t> </m:t>
              </m:r>
              <m:r>
                <m:t>0.56</m:t>
              </m:r>
              <m:r>
                <m:rPr>
                  <m:sty m:val="p"/>
                </m:rPr>
                <m:t>]</m:t>
              </m:r>
            </m:oMath>
          </w:p>
        </w:tc>
        <w:tc>
          <w:tcPr/>
          <w:p>
            <w:pPr>
              <w:pStyle w:val="Compact"/>
              <w:jc w:val="center"/>
            </w:pPr>
            <m:oMath>
              <m:r>
                <m:rPr>
                  <m:sty m:val="p"/>
                </m:rPr>
                <m:t>[</m:t>
              </m:r>
              <m:r>
                <m:t>0.11</m:t>
              </m:r>
              <m:r>
                <m:rPr>
                  <m:sty m:val="p"/>
                </m:rPr>
                <m:t>,</m:t>
              </m:r>
              <m:r>
                <m:t> </m:t>
              </m:r>
              <m:r>
                <m:t>0.76</m:t>
              </m:r>
              <m:r>
                <m:rPr>
                  <m:sty m:val="p"/>
                </m:rPr>
                <m:t>]</m:t>
              </m:r>
            </m:oMath>
          </w:p>
        </w:tc>
      </w:tr>
      <w:tr>
        <w:tc>
          <w:tcPr/>
          <w:p>
            <w:pPr>
              <w:pStyle w:val="Compact"/>
              <w:jc w:val="left"/>
            </w:pPr>
            <m:oMath>
              <m:r>
                <m:rPr>
                  <m:sty m:val="p"/>
                </m:rPr>
                <m:t>Δ</m:t>
              </m:r>
              <m:r>
                <m:rPr>
                  <m:sty m:val="p"/>
                </m:rPr>
                <m:t>/</m:t>
              </m:r>
              <m:sSub>
                <m:e>
                  <m:r>
                    <m:t>M</m:t>
                  </m:r>
                </m:e>
                <m:sub>
                  <m:r>
                    <m:rPr>
                      <m:sty m:val="p"/>
                    </m:rPr>
                    <m:t>P</m:t>
                  </m:r>
                  <m:r>
                    <m:rPr>
                      <m:sty m:val="p"/>
                    </m:rPr>
                    <m:t>l</m:t>
                  </m:r>
                </m:sub>
              </m:sSub>
            </m:oMath>
          </w:p>
        </w:tc>
        <w:tc>
          <w:tcPr/>
          <w:p>
            <w:pPr>
              <w:pStyle w:val="Compact"/>
              <w:jc w:val="center"/>
            </w:pPr>
            <w:r>
              <w:t xml:space="preserve">0.70</w:t>
            </w:r>
          </w:p>
        </w:tc>
        <w:tc>
          <w:tcPr/>
          <w:p>
            <w:pPr>
              <w:pStyle w:val="Compact"/>
              <w:jc w:val="center"/>
            </w:pPr>
            <m:oMath>
              <m:r>
                <m:rPr>
                  <m:sty m:val="p"/>
                </m:rPr>
                <m:t>[</m:t>
              </m:r>
              <m:r>
                <m:t>0.43</m:t>
              </m:r>
              <m:r>
                <m:rPr>
                  <m:sty m:val="p"/>
                </m:rPr>
                <m:t>,</m:t>
              </m:r>
              <m:r>
                <m:t> </m:t>
              </m:r>
              <m:r>
                <m:t>0.94</m:t>
              </m:r>
              <m:r>
                <m:rPr>
                  <m:sty m:val="p"/>
                </m:rPr>
                <m:t>]</m:t>
              </m:r>
            </m:oMath>
          </w:p>
        </w:tc>
        <w:tc>
          <w:tcPr/>
          <w:p>
            <w:pPr>
              <w:pStyle w:val="Compact"/>
              <w:jc w:val="center"/>
            </w:pPr>
            <m:oMath>
              <m:r>
                <m:rPr>
                  <m:sty m:val="p"/>
                </m:rPr>
                <m:t>[</m:t>
              </m:r>
              <m:r>
                <m:t>0.24</m:t>
              </m:r>
              <m:r>
                <m:rPr>
                  <m:sty m:val="p"/>
                </m:rPr>
                <m:t>,</m:t>
              </m:r>
              <m:r>
                <m:t> </m:t>
              </m:r>
              <m:r>
                <m:t>0.99</m:t>
              </m:r>
              <m:r>
                <m:rPr>
                  <m:sty m:val="p"/>
                </m:rPr>
                <m:t>]</m:t>
              </m:r>
            </m:oMath>
          </w:p>
        </w:tc>
      </w:tr>
      <w:tr>
        <w:tc>
          <w:tcPr/>
          <w:p>
            <w:pPr>
              <w:pStyle w:val="Compact"/>
              <w:jc w:val="left"/>
            </w:pPr>
            <m:oMath>
              <m:sSub>
                <m:e>
                  <m:r>
                    <m:t>χ</m:t>
                  </m:r>
                </m:e>
                <m:sub>
                  <m:r>
                    <m:t>0</m:t>
                  </m:r>
                </m:sub>
              </m:sSub>
              <m:r>
                <m:rPr>
                  <m:sty m:val="p"/>
                </m:rPr>
                <m:t>/</m:t>
              </m:r>
              <m:sSub>
                <m:e>
                  <m:r>
                    <m:t>M</m:t>
                  </m:r>
                </m:e>
                <m:sub>
                  <m:r>
                    <m:rPr>
                      <m:sty m:val="p"/>
                    </m:rPr>
                    <m:t>P</m:t>
                  </m:r>
                  <m:r>
                    <m:rPr>
                      <m:sty m:val="p"/>
                    </m:rPr>
                    <m:t>l</m:t>
                  </m:r>
                </m:sub>
              </m:sSub>
            </m:oMath>
          </w:p>
        </w:tc>
        <w:tc>
          <w:tcPr/>
          <w:p>
            <w:pPr>
              <w:pStyle w:val="Compact"/>
              <w:jc w:val="center"/>
            </w:pPr>
            <w:r>
              <w:t xml:space="preserve">4.52</w:t>
            </w:r>
          </w:p>
        </w:tc>
        <w:tc>
          <w:tcPr/>
          <w:p>
            <w:pPr>
              <w:pStyle w:val="Compact"/>
              <w:jc w:val="center"/>
            </w:pPr>
            <m:oMath>
              <m:r>
                <m:rPr>
                  <m:sty m:val="p"/>
                </m:rPr>
                <m:t>[</m:t>
              </m:r>
              <m:r>
                <m:t>3.36</m:t>
              </m:r>
              <m:r>
                <m:rPr>
                  <m:sty m:val="p"/>
                </m:rPr>
                <m:t>,</m:t>
              </m:r>
              <m:r>
                <m:t> </m:t>
              </m:r>
              <m:r>
                <m:t>6.02</m:t>
              </m:r>
              <m:r>
                <m:rPr>
                  <m:sty m:val="p"/>
                </m:rPr>
                <m:t>]</m:t>
              </m:r>
            </m:oMath>
          </w:p>
        </w:tc>
        <w:tc>
          <w:tcPr/>
          <w:p>
            <w:pPr>
              <w:pStyle w:val="Compact"/>
              <w:jc w:val="center"/>
            </w:pPr>
            <m:oMath>
              <m:r>
                <m:rPr>
                  <m:sty m:val="p"/>
                </m:rPr>
                <m:t>[</m:t>
              </m:r>
              <m:r>
                <m:t>3.06</m:t>
              </m:r>
              <m:r>
                <m:rPr>
                  <m:sty m:val="p"/>
                </m:rPr>
                <m:t>,</m:t>
              </m:r>
              <m:r>
                <m:t> </m:t>
              </m:r>
              <m:r>
                <m:t>6.88</m:t>
              </m:r>
              <m:r>
                <m:rPr>
                  <m:sty m:val="p"/>
                </m:rPr>
                <m:t>]</m:t>
              </m:r>
            </m:oMath>
          </w:p>
        </w:tc>
      </w:tr>
      <w:tr>
        <w:tc>
          <w:tcPr/>
          <w:p>
            <w:pPr>
              <w:pStyle w:val="Compact"/>
              <w:jc w:val="left"/>
            </w:pPr>
            <m:oMath>
              <m:r>
                <m:t>μ</m:t>
              </m:r>
              <m:r>
                <m:rPr>
                  <m:sty m:val="p"/>
                </m:rPr>
                <m:t>/</m:t>
              </m:r>
              <m:sSub>
                <m:e>
                  <m:r>
                    <m:t>M</m:t>
                  </m:r>
                </m:e>
                <m:sub>
                  <m:r>
                    <m:rPr>
                      <m:sty m:val="p"/>
                    </m:rPr>
                    <m:t>P</m:t>
                  </m:r>
                  <m:r>
                    <m:rPr>
                      <m:sty m:val="p"/>
                    </m:rPr>
                    <m:t>l</m:t>
                  </m:r>
                </m:sub>
              </m:sSub>
            </m:oMath>
          </w:p>
        </w:tc>
        <w:tc>
          <w:tcPr/>
          <w:p>
            <w:pPr>
              <w:pStyle w:val="Compact"/>
              <w:jc w:val="center"/>
            </w:pPr>
            <w:r>
              <w:t xml:space="preserve">4.25</w:t>
            </w:r>
          </w:p>
        </w:tc>
        <w:tc>
          <w:tcPr/>
          <w:p>
            <w:pPr>
              <w:pStyle w:val="Compact"/>
              <w:jc w:val="center"/>
            </w:pPr>
            <m:oMath>
              <m:r>
                <m:rPr>
                  <m:sty m:val="p"/>
                </m:rPr>
                <m:t>[</m:t>
              </m:r>
              <m:r>
                <m:t>3.31</m:t>
              </m:r>
              <m:r>
                <m:rPr>
                  <m:sty m:val="p"/>
                </m:rPr>
                <m:t>,</m:t>
              </m:r>
              <m:r>
                <m:t> </m:t>
              </m:r>
              <m:r>
                <m:t>5.31</m:t>
              </m:r>
              <m:r>
                <m:rPr>
                  <m:sty m:val="p"/>
                </m:rPr>
                <m:t>]</m:t>
              </m:r>
            </m:oMath>
          </w:p>
        </w:tc>
        <w:tc>
          <w:tcPr/>
          <w:p>
            <w:pPr>
              <w:pStyle w:val="Compact"/>
              <w:jc w:val="center"/>
            </w:pPr>
            <m:oMath>
              <m:r>
                <m:rPr>
                  <m:sty m:val="p"/>
                </m:rPr>
                <m:t>[</m:t>
              </m:r>
              <m:r>
                <m:t>3.05</m:t>
              </m:r>
              <m:r>
                <m:rPr>
                  <m:sty m:val="p"/>
                </m:rPr>
                <m:t>,</m:t>
              </m:r>
              <m:r>
                <m:t> </m:t>
              </m:r>
              <m:r>
                <m:t>6.35</m:t>
              </m:r>
              <m:r>
                <m:rPr>
                  <m:sty m:val="p"/>
                </m:rPr>
                <m:t>]</m:t>
              </m:r>
            </m:oMath>
          </w:p>
        </w:tc>
      </w:tr>
    </w:tbl>
    <w:bookmarkEnd w:id="13"/>
    <w:bookmarkEnd w:id="14"/>
    <w:bookmarkStart w:id="18" w:name="non-degeneracy-with-alpha-attractors"/>
    <w:p>
      <w:pPr>
        <w:pStyle w:val="Heading1"/>
      </w:pPr>
      <w:r>
        <w:t xml:space="preserve">Non-degeneracy with</w:t>
      </w:r>
      <w:r>
        <w:t xml:space="preserve"> </w:t>
      </w:r>
      <m:oMath>
        <m:r>
          <m:t>α</m:t>
        </m:r>
      </m:oMath>
      <w:r>
        <w:t xml:space="preserve">-attractors</w:t>
      </w:r>
    </w:p>
    <w:p>
      <w:pPr>
        <w:pStyle w:val="FirstParagraph"/>
      </w:pPr>
      <w:r>
        <w:t xml:space="preserve">Plateau inflation driven by a pole in the field-space metric is not</w:t>
      </w:r>
      <w:r>
        <w:t xml:space="preserve"> </w:t>
      </w:r>
      <w:r>
        <w:t xml:space="preserve">observationally equivalent to plateau inflation generated by a regular</w:t>
      </w:r>
      <w:r>
        <w:t xml:space="preserve"> </w:t>
      </w:r>
      <w:r>
        <w:t xml:space="preserve">potential. Canonical</w:t>
      </w:r>
      <w:r>
        <w:t xml:space="preserve"> </w:t>
      </w:r>
      <m:oMath>
        <m:r>
          <m:t>α</m:t>
        </m:r>
      </m:oMath>
      <w:r>
        <w:t xml:space="preserve">-attractors obey</w:t>
      </w:r>
    </w:p>
    <w:p>
      <w:pPr>
        <w:pStyle w:val="BodyText"/>
      </w:pPr>
      <m:oMathPara>
        <m:oMathParaPr>
          <m:jc m:val="center"/>
        </m:oMathParaPr>
        <m:oMath>
          <m:sSubSup>
            <m:e>
              <m:r>
                <m:t>α</m:t>
              </m:r>
            </m:e>
            <m:sub>
              <m:r>
                <m:t>s</m:t>
              </m:r>
            </m:sub>
            <m:sup>
              <m:r>
                <m:rPr>
                  <m:sty m:val="p"/>
                </m:rPr>
                <m:t>(</m:t>
              </m:r>
              <m:r>
                <m:t>α</m:t>
              </m:r>
              <m:r>
                <m:rPr>
                  <m:nor/>
                  <m:sty m:val="p"/>
                </m:rPr>
                <m:t>-attr</m:t>
              </m:r>
              <m:r>
                <m:rPr>
                  <m:sty m:val="p"/>
                </m:rPr>
                <m:t>)</m:t>
              </m:r>
            </m:sup>
          </m:sSubSup>
          <m:r>
            <m:rPr>
              <m:sty m:val="p"/>
            </m:rPr>
            <m:t>=</m:t>
          </m:r>
          <m:r>
            <m:rPr>
              <m:sty m:val="p"/>
            </m:rPr>
            <m:t>−</m:t>
          </m:r>
          <m:f>
            <m:fPr>
              <m:type m:val="bar"/>
            </m:fPr>
            <m:num>
              <m:r>
                <m:t>2</m:t>
              </m:r>
            </m:num>
            <m:den>
              <m:sSup>
                <m:e>
                  <m:r>
                    <m:t>N</m:t>
                  </m:r>
                </m:e>
                <m:sup>
                  <m:r>
                    <m:t>2</m:t>
                  </m:r>
                </m:sup>
              </m:sSup>
            </m:den>
          </m:f>
          <m:r>
            <m:rPr>
              <m:sty m:val="p"/>
            </m:rPr>
            <m:t>+</m:t>
          </m:r>
          <m:r>
            <m:rPr>
              <m:scr m:val="script"/>
              <m:sty m:val="p"/>
            </m:rPr>
            <m:t>O</m:t>
          </m:r>
          <m:r>
            <m:t>​</m:t>
          </m:r>
          <m:d>
            <m:dPr>
              <m:begChr m:val="("/>
              <m:sepChr m:val=""/>
              <m:endChr m:val=")"/>
              <m:grow/>
            </m:dPr>
            <m:e>
              <m:f>
                <m:fPr>
                  <m:type m:val="bar"/>
                </m:fPr>
                <m:num>
                  <m:r>
                    <m:t>1</m:t>
                  </m:r>
                </m:num>
                <m:den>
                  <m:sSup>
                    <m:e>
                      <m:r>
                        <m:t>N</m:t>
                      </m:r>
                    </m:e>
                    <m:sup>
                      <m:r>
                        <m:t>3</m:t>
                      </m:r>
                    </m:sup>
                  </m:sSup>
                </m:den>
              </m:f>
            </m:e>
          </m:d>
          <m:r>
            <m:rPr>
              <m:sty m:val="p"/>
            </m:rPr>
            <m:t>,</m:t>
          </m:r>
        </m:oMath>
      </m:oMathPara>
    </w:p>
    <w:p>
      <w:pPr>
        <w:pStyle w:val="FirstParagraph"/>
      </w:pPr>
      <w:r>
        <w:t xml:space="preserve">which bounds the running by</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w:t>
      </w:r>
      <m:oMath>
        <m:r>
          <m:t>60</m:t>
        </m:r>
      </m:oMath>
      <w:r>
        <w:t xml:space="preserve">, independently of reheating priors. In contrast, the</w:t>
      </w:r>
      <w:r>
        <w:t xml:space="preserve"> </w:t>
      </w:r>
      <w:r>
        <w:t xml:space="preserve">threshold-induced plateau inherits unsuppressed contributions from</w:t>
      </w:r>
      <w:r>
        <w:t xml:space="preserve"> </w:t>
      </w:r>
      <m:oMath>
        <m:sSup>
          <m:e>
            <m:r>
              <m:t>F</m:t>
            </m:r>
          </m:e>
          <m:sup>
            <m:r>
              <m:rPr>
                <m:sty m:val="p"/>
              </m:rPr>
              <m:t>‴</m:t>
            </m:r>
          </m:sup>
        </m:sSup>
        <m:r>
          <m:rPr>
            <m:sty m:val="p"/>
          </m:rPr>
          <m:t>/</m:t>
        </m:r>
        <m:r>
          <m:t>F</m:t>
        </m:r>
      </m:oMath>
      <w:r>
        <w:t xml:space="preserve">, yielding</w:t>
      </w:r>
    </w:p>
    <w:p>
      <w:pPr>
        <w:pStyle w:val="BodyText"/>
      </w:pPr>
      <m:oMathPara>
        <m:oMathParaPr>
          <m:jc m:val="center"/>
        </m:oMathParaPr>
        <m:oMath>
          <m:sSub>
            <m:e>
              <m:r>
                <m:t>α</m:t>
              </m:r>
            </m:e>
            <m:sub>
              <m:r>
                <m:t>s</m:t>
              </m:r>
            </m:sub>
          </m:sSub>
          <m:r>
            <m:rPr>
              <m:sty m:val="p"/>
            </m:rPr>
            <m:t>≃</m:t>
          </m:r>
          <m:sSubSup>
            <m:e>
              <m:r>
                <m:t>α</m:t>
              </m:r>
            </m:e>
            <m:sub>
              <m:r>
                <m:t>s</m:t>
              </m:r>
            </m:sub>
            <m:sup>
              <m:r>
                <m:rPr>
                  <m:sty m:val="p"/>
                </m:rPr>
                <m:t>(</m:t>
              </m:r>
              <m:r>
                <m:t>α</m:t>
              </m:r>
              <m:r>
                <m:rPr>
                  <m:nor/>
                  <m:sty m:val="p"/>
                </m:rPr>
                <m:t>-attr</m:t>
              </m:r>
              <m:r>
                <m:rPr>
                  <m:sty m:val="p"/>
                </m:rPr>
                <m:t>)</m:t>
              </m:r>
            </m:sup>
          </m:sSubSup>
          <m:r>
            <m:rPr>
              <m:sty m:val="p"/>
            </m:rPr>
            <m:t>−</m:t>
          </m:r>
          <m:r>
            <m:t>2</m:t>
          </m:r>
          <m:r>
            <m:t> </m:t>
          </m:r>
          <m:r>
            <m:rPr>
              <m:sty m:val="p"/>
            </m:rPr>
            <m:t>Δ</m:t>
          </m:r>
          <m:sSubSup>
            <m:e>
              <m:r>
                <m:t>ξ</m:t>
              </m:r>
            </m:e>
            <m:sub>
              <m:r>
                <m:rPr>
                  <m:nor/>
                  <m:sty m:val="p"/>
                </m:rPr>
                <m:t>thr</m:t>
              </m:r>
            </m:sub>
            <m:sup>
              <m:r>
                <m:t>2</m:t>
              </m:r>
            </m:sup>
          </m:sSubSup>
          <m:r>
            <m:rPr>
              <m:sty m:val="p"/>
            </m:rPr>
            <m:t>,</m:t>
          </m:r>
        </m:oMath>
      </m:oMathPara>
    </w:p>
    <w:p>
      <w:pPr>
        <w:pStyle w:val="FirstParagraph"/>
      </w:pPr>
      <w:r>
        <w:t xml:space="preserve">with</w:t>
      </w:r>
    </w:p>
    <w:p>
      <w:pPr>
        <w:pStyle w:val="BodyText"/>
      </w:pPr>
      <m:oMathPara>
        <m:oMathParaPr>
          <m:jc m:val="center"/>
        </m:oMathParaPr>
        <m:oMath>
          <m:r>
            <m:rPr>
              <m:sty m:val="p"/>
            </m:rPr>
            <m:t>Δ</m:t>
          </m:r>
          <m:sSubSup>
            <m:e>
              <m:r>
                <m:t>ξ</m:t>
              </m:r>
            </m:e>
            <m:sub>
              <m:r>
                <m:rPr>
                  <m:nor/>
                  <m:sty m:val="p"/>
                </m:rPr>
                <m:t>thr</m:t>
              </m:r>
            </m:sub>
            <m:sup>
              <m:r>
                <m:t>2</m:t>
              </m:r>
            </m:sup>
          </m:sSubSup>
          <m:r>
            <m:rPr>
              <m:sty m:val="p"/>
            </m:rPr>
            <m:t>∝</m:t>
          </m:r>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r>
            <m:t> </m:t>
          </m:r>
          <m:r>
            <m:t>K</m:t>
          </m:r>
          <m:r>
            <m:rPr>
              <m:sty m:val="p"/>
            </m:rPr>
            <m:t>(</m:t>
          </m:r>
          <m:r>
            <m:t>χ</m:t>
          </m:r>
          <m:sSup>
            <m:e>
              <m:r>
                <m:rPr>
                  <m:sty m:val="p"/>
                </m:rPr>
                <m:t>)</m:t>
              </m:r>
            </m:e>
            <m:sup>
              <m:r>
                <m:rPr>
                  <m:sty m:val="p"/>
                </m:rPr>
                <m:t>−</m:t>
              </m:r>
              <m:r>
                <m:t>3</m:t>
              </m:r>
              <m:r>
                <m:rPr>
                  <m:sty m:val="p"/>
                </m:rPr>
                <m:t>/</m:t>
              </m:r>
              <m:r>
                <m:t>2</m:t>
              </m:r>
            </m:sup>
          </m:sSup>
          <m:r>
            <m:rPr>
              <m:sty m:val="p"/>
            </m:rPr>
            <m:t>,</m:t>
          </m:r>
        </m:oMath>
      </m:oMathPara>
    </w:p>
    <w:p>
      <w:pPr>
        <w:pStyle w:val="FirstParagraph"/>
      </w:pPr>
      <w:r>
        <w:t xml:space="preserve">so the usual slow-roll hierarchy is broken near the threshold.</w:t>
      </w:r>
    </w:p>
    <w:p>
      <w:pPr>
        <w:pStyle w:val="BodyText"/>
      </w:pPr>
      <w:r>
        <w:t xml:space="preserve">Figure X.1 (see ancillary repository) displays the</w:t>
      </w:r>
      <w:r>
        <w:t xml:space="preserve"> </w:t>
      </w:r>
      <m:oMath>
        <m:sSub>
          <m:e>
            <m:r>
              <m:t>α</m:t>
            </m:r>
          </m:e>
          <m:sub>
            <m:r>
              <m:t>s</m:t>
            </m:r>
          </m:sub>
        </m:sSub>
      </m:oMath>
      <w:r>
        <w:t xml:space="preserve">–</w:t>
      </w:r>
      <m:oMath>
        <m:sSub>
          <m:e>
            <m:r>
              <m:t>n</m:t>
            </m:r>
          </m:e>
          <m:sub>
            <m:r>
              <m:t>s</m:t>
            </m:r>
          </m:sub>
        </m:sSub>
      </m:oMath>
      <w:r>
        <w:t xml:space="preserve"> </w:t>
      </w:r>
      <w:r>
        <w:t xml:space="preserve">plane. Grey bands show the</w:t>
      </w:r>
      <w:r>
        <w:t xml:space="preserve"> </w:t>
      </w:r>
      <m:oMath>
        <m:r>
          <m:t>α</m:t>
        </m:r>
      </m:oMath>
      <w:r>
        <w:t xml:space="preserve">-attractor prior</w:t>
      </w:r>
      <w:r>
        <w:t xml:space="preserve"> </w:t>
      </w:r>
      <w:r>
        <w:t xml:space="preserve">(</w:t>
      </w:r>
      <m:oMath>
        <m:r>
          <m:t>α</m:t>
        </m:r>
        <m:r>
          <m:rPr>
            <m:sty m:val="p"/>
          </m:rPr>
          <m:t>∈</m:t>
        </m:r>
        <m:r>
          <m:rPr>
            <m:sty m:val="p"/>
          </m:rPr>
          <m:t>[</m:t>
        </m:r>
        <m:sSup>
          <m:e>
            <m:r>
              <m:t>10</m:t>
            </m:r>
          </m:e>
          <m:sup>
            <m:r>
              <m:rPr>
                <m:sty m:val="p"/>
              </m:rPr>
              <m:t>−</m:t>
            </m:r>
            <m:r>
              <m:t>4</m:t>
            </m:r>
          </m:sup>
        </m:sSup>
        <m:r>
          <m:rPr>
            <m:sty m:val="p"/>
          </m:rPr>
          <m:t>,</m:t>
        </m:r>
        <m:r>
          <m:t>1</m:t>
        </m:r>
        <m:r>
          <m:rPr>
            <m:sty m:val="p"/>
          </m:rPr>
          <m:t>]</m:t>
        </m:r>
        <m:r>
          <m:rPr>
            <m:sty m:val="p"/>
          </m:rPr>
          <m:t>,</m:t>
        </m:r>
        <m:r>
          <m:t>N</m:t>
        </m:r>
        <m:r>
          <m:rPr>
            <m:sty m:val="p"/>
          </m:rPr>
          <m:t>∈</m:t>
        </m:r>
        <m:r>
          <m:rPr>
            <m:sty m:val="p"/>
          </m:rPr>
          <m:t>[</m:t>
        </m:r>
        <m:r>
          <m:t>50</m:t>
        </m:r>
        <m:r>
          <m:rPr>
            <m:sty m:val="p"/>
          </m:rPr>
          <m:t>,</m:t>
        </m:r>
        <m:r>
          <m:t>60</m:t>
        </m:r>
        <m:r>
          <m:rPr>
            <m:sty m:val="p"/>
          </m:rPr>
          <m:t>]</m:t>
        </m:r>
      </m:oMath>
      <w:r>
        <w:t xml:space="preserve">), while dashed contours</w:t>
      </w:r>
      <w:r>
        <w:t xml:space="preserve"> </w:t>
      </w:r>
      <w:r>
        <w:t xml:space="preserve">show the RG-threshold posterior. Under these priors only</w:t>
      </w:r>
      <w:r>
        <w:t xml:space="preserve"> </w:t>
      </w:r>
      <m:oMath>
        <m:r>
          <m:rPr>
            <m:sty m:val="p"/>
          </m:rPr>
          <m:t>∼</m:t>
        </m:r>
        <m:r>
          <m:t>2.7</m:t>
        </m:r>
        <m:r>
          <m:rPr>
            <m:sty m:val="p"/>
          </m:rPr>
          <m:t>%</m:t>
        </m:r>
      </m:oMath>
      <w:r>
        <w:t xml:space="preserve"> </w:t>
      </w:r>
      <w:r>
        <w:t xml:space="preserve">of</w:t>
      </w:r>
      <w:r>
        <w:t xml:space="preserve"> </w:t>
      </w:r>
      <w:r>
        <w:t xml:space="preserve">the ASG posterior lies inside the</w:t>
      </w:r>
      <w:r>
        <w:t xml:space="preserve"> </w:t>
      </w:r>
      <m:oMath>
        <m:r>
          <m:t>95</m:t>
        </m:r>
        <m:r>
          <m:rPr>
            <m:sty m:val="p"/>
          </m:rPr>
          <m:t>%</m:t>
        </m:r>
      </m:oMath>
      <w:r>
        <w:t xml:space="preserve"> </w:t>
      </w:r>
      <w:r>
        <w:t xml:space="preserve">KDE region of the</w:t>
      </w:r>
      <w:r>
        <w:t xml:space="preserve"> </w:t>
      </w:r>
      <m:oMath>
        <m:r>
          <m:t>α</m:t>
        </m:r>
      </m:oMath>
      <w:r>
        <w:t xml:space="preserve">-attractor ensemble, whereas</w:t>
      </w:r>
      <w:r>
        <w:t xml:space="preserve"> </w:t>
      </w:r>
      <m:oMath>
        <m:r>
          <m:rPr>
            <m:sty m:val="p"/>
          </m:rPr>
          <m:t>∼</m:t>
        </m:r>
        <m:r>
          <m:t>90</m:t>
        </m:r>
        <m:r>
          <m:rPr>
            <m:sty m:val="p"/>
          </m:rPr>
          <m:t>%</m:t>
        </m:r>
      </m:oMath>
      <w:r>
        <w:t xml:space="preserve"> </w:t>
      </w:r>
      <w:r>
        <w:t xml:space="preserve">of ASG samples satisfy</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p>
      <w:pPr>
        <w:pStyle w:val="BodyText"/>
      </w:pPr>
      <w:r>
        <w:t xml:space="preserve">Forecast detectability is summarized in Table X.1. LiteBIRD achieves a</w:t>
      </w:r>
      <w:r>
        <w:t xml:space="preserve"> </w:t>
      </w:r>
      <w:r>
        <w:t xml:space="preserve">median signal-to-noise ratio</w:t>
      </w:r>
      <w:r>
        <w:t xml:space="preserve"> </w:t>
      </w:r>
      <m:oMath>
        <m:r>
          <m:t>S</m:t>
        </m:r>
        <m:r>
          <m:rPr>
            <m:sty m:val="p"/>
          </m:rPr>
          <m:t>/</m:t>
        </m:r>
        <m:r>
          <m:t>N</m:t>
        </m:r>
        <m:r>
          <m:rPr>
            <m:sty m:val="p"/>
          </m:rPr>
          <m:t>≈</m:t>
        </m:r>
        <m:r>
          <m:t>2.8</m:t>
        </m:r>
      </m:oMath>
      <w:r>
        <w:t xml:space="preserve"> </w:t>
      </w:r>
      <w:r>
        <w:t xml:space="preserve">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while CMB-S4 reaches</w:t>
      </w:r>
      <w:r>
        <w:t xml:space="preserve"> </w:t>
      </w:r>
      <m:oMath>
        <m:r>
          <m:t>S</m:t>
        </m:r>
        <m:r>
          <m:rPr>
            <m:sty m:val="p"/>
          </m:rPr>
          <m:t>/</m:t>
        </m:r>
        <m:r>
          <m:t>N</m:t>
        </m:r>
        <m:r>
          <m:rPr>
            <m:sty m:val="p"/>
          </m:rPr>
          <m:t>≈</m:t>
        </m:r>
        <m:r>
          <m:t>3.5</m:t>
        </m:r>
      </m:oMath>
      <w:r>
        <w:t xml:space="preserve">, implying that</w:t>
      </w:r>
      <w:r>
        <w:t xml:space="preserve"> </w:t>
      </w:r>
      <m:oMath>
        <m:r>
          <m:rPr>
            <m:scr m:val="script"/>
            <m:sty m:val="p"/>
          </m:rPr>
          <m:t>O</m:t>
        </m:r>
        <m:r>
          <m:rPr>
            <m:sty m:val="p"/>
          </m:rPr>
          <m:t>(</m:t>
        </m:r>
        <m:r>
          <m:t>30</m:t>
        </m:r>
        <m:r>
          <m:rPr>
            <m:sty m:val="p"/>
          </m:rPr>
          <m:t>%</m:t>
        </m:r>
        <m:r>
          <m:rPr>
            <m:sty m:val="p"/>
          </m:rPr>
          <m:t>)</m:t>
        </m:r>
      </m:oMath>
      <w:r>
        <w:t xml:space="preserve"> </w:t>
      </w:r>
      <w:r>
        <w:t xml:space="preserve">(</w:t>
      </w:r>
      <m:oMath>
        <m:r>
          <m:rPr>
            <m:scr m:val="script"/>
            <m:sty m:val="p"/>
          </m:rPr>
          <m:t>O</m:t>
        </m:r>
        <m:r>
          <m:rPr>
            <m:sty m:val="p"/>
          </m:rPr>
          <m:t>(</m:t>
        </m:r>
        <m:r>
          <m:t>70</m:t>
        </m:r>
        <m:r>
          <m:rPr>
            <m:sty m:val="p"/>
          </m:rPr>
          <m:t>%</m:t>
        </m:r>
        <m:r>
          <m:rPr>
            <m:sty m:val="p"/>
          </m:rPr>
          <m:t>)</m:t>
        </m:r>
      </m:oMath>
      <w:r>
        <w:t xml:space="preserve">)</w:t>
      </w:r>
      <w:r>
        <w:t xml:space="preserve"> </w:t>
      </w:r>
      <w:r>
        <w:t xml:space="preserve">of the posterior would be detected at</w:t>
      </w:r>
      <w:r>
        <w:t xml:space="preserve"> </w:t>
      </w:r>
      <m:oMath>
        <m:r>
          <m:rPr>
            <m:sty m:val="p"/>
          </m:rPr>
          <m:t>≥</m:t>
        </m:r>
        <m:r>
          <m:t>3</m:t>
        </m:r>
        <m:r>
          <m:t>σ</m:t>
        </m:r>
      </m:oMath>
      <w:r>
        <w:t xml:space="preserve"> </w:t>
      </w:r>
      <w:r>
        <w:t xml:space="preserve">by LiteBIRD (CMB-S4).</w:t>
      </w:r>
      <w:r>
        <w:t xml:space="preserve"> </w:t>
      </w:r>
      <w:r>
        <w:t xml:space="preserve">Planck’s current sensitivity remains insufficient, with</w:t>
      </w:r>
      <w:r>
        <w:t xml:space="preserve"> </w:t>
      </w:r>
      <m:oMath>
        <m:r>
          <m:t>S</m:t>
        </m:r>
        <m:r>
          <m:rPr>
            <m:sty m:val="p"/>
          </m:rPr>
          <m:t>/</m:t>
        </m:r>
        <m:r>
          <m:t>N</m:t>
        </m:r>
        <m:r>
          <m:rPr>
            <m:sty m:val="p"/>
          </m:rPr>
          <m:t>≈</m:t>
        </m:r>
        <m:r>
          <m:t>1.7</m:t>
        </m:r>
      </m:oMath>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nor/>
                  <m:sty m:val="p"/>
                </m:rPr>
                <m:t>frac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p>
      <w:pPr>
        <w:pStyle w:val="BodyText"/>
      </w:pPr>
      <w:r>
        <w:t xml:space="preserve">The combination of the analytic bound and forecasted detection prospects</w:t>
      </w:r>
      <w:r>
        <w:t xml:space="preserve"> </w:t>
      </w:r>
      <w:r>
        <w:t xml:space="preserve">shows that the threshold-induced attractor is falsifiable by near-future</w:t>
      </w:r>
      <w:r>
        <w:t xml:space="preserve"> </w:t>
      </w:r>
      <w:r>
        <w:t xml:space="preserve">CMB experiments: detecting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would rule out</w:t>
      </w:r>
      <w:r>
        <w:t xml:space="preserve"> </w:t>
      </w:r>
      <w:r>
        <w:t xml:space="preserve">the entire class of regular plateau potentials while remaining</w:t>
      </w:r>
      <w:r>
        <w:t xml:space="preserve"> </w:t>
      </w:r>
      <w:r>
        <w:t xml:space="preserve">consistent with the threshold scenario.</w:t>
      </w:r>
    </w:p>
    <w:bookmarkStart w:id="17" w:name="X4aac51b0a448b255b843707683d1934119617dc"/>
    <w:p>
      <w:pPr>
        <w:pStyle w:val="Heading2"/>
      </w:pPr>
      <w:r>
        <w:t xml:space="preserve">α-attractor comparison chain and Δχ² diagnosis</w:t>
      </w:r>
    </w:p>
    <w:p>
      <w:pPr>
        <w:pStyle w:val="FirstParagraph"/>
      </w:pPr>
      <w:r>
        <w:t xml:space="preserve">To make the</w:t>
      </w:r>
      <w:r>
        <w:t xml:space="preserve"> </w:t>
      </w:r>
      <m:oMath>
        <m:r>
          <m:t>α</m:t>
        </m:r>
      </m:oMath>
      <w:r>
        <w:t xml:space="preserve">-attractor contrast fully data-driven we ran a dedicated</w:t>
      </w:r>
      <w:r>
        <w:t xml:space="preserve"> </w:t>
      </w:r>
      <w:r>
        <w:t xml:space="preserve">MontePython chain (</w:t>
      </w:r>
      <w:r>
        <w:rPr>
          <w:rStyle w:val="VerbatimChar"/>
        </w:rPr>
        <w:t xml:space="preserve">chains/alpha_chain4/2026-03-08_200000__1.txt</w:t>
      </w:r>
      <w:r>
        <w:t xml:space="preserve">) with the</w:t>
      </w:r>
      <w:r>
        <w:t xml:space="preserve"> </w:t>
      </w:r>
      <w:r>
        <w:t xml:space="preserve">identical Planck TT,TE,EE+lowE+lensing likelihood stack used for ASG, using</w:t>
      </w:r>
      <w:r>
        <w:t xml:space="preserve"> </w:t>
      </w:r>
      <w:r>
        <w:t xml:space="preserve">the bridge likelihood</w:t>
      </w:r>
      <w:r>
        <w:t xml:space="preserve"> </w:t>
      </w:r>
      <w:r>
        <w:rPr>
          <w:rStyle w:val="VerbatimChar"/>
        </w:rPr>
        <w:t xml:space="preserve">alpha_bridge</w:t>
      </w:r>
      <w:r>
        <w:t xml:space="preserve"> </w:t>
      </w:r>
      <w:r>
        <w:t xml:space="preserve">that maps the E-model parameters</w:t>
      </w:r>
      <w:r>
        <w:t xml:space="preserve"> </w:t>
      </w:r>
      <m:oMath>
        <m:r>
          <m:rPr>
            <m:sty m:val="p"/>
          </m:rPr>
          <m:t>(</m:t>
        </m:r>
        <m:r>
          <m:t>ϵ</m:t>
        </m:r>
        <m:r>
          <m:rPr>
            <m:sty m:val="p"/>
          </m:rPr>
          <m:t>,</m:t>
        </m:r>
        <m:r>
          <m:t>c</m:t>
        </m:r>
        <m:r>
          <m:rPr>
            <m:sty m:val="p"/>
          </m:rPr>
          <m:t>,</m:t>
        </m:r>
        <m:sSub>
          <m:e>
            <m:r>
              <m:t>A</m:t>
            </m:r>
          </m:e>
          <m:sub>
            <m:r>
              <m:t>s</m:t>
            </m:r>
            <m:r>
              <m:rPr>
                <m:sty m:val="p"/>
              </m:rPr>
              <m:t>,</m:t>
            </m:r>
            <m:r>
              <m:rPr>
                <m:nor/>
                <m:sty m:val="p"/>
              </m:rPr>
              <m:t>inf</m:t>
            </m:r>
          </m:sub>
        </m:sSub>
        <m:r>
          <m:rPr>
            <m:sty m:val="p"/>
          </m:rPr>
          <m:t>)</m:t>
        </m:r>
      </m:oMath>
      <w:r>
        <w:t xml:space="preserve"> </w:t>
      </w:r>
      <w:r>
        <w:t xml:space="preserve">to the primordial spectrum via CLASS.</w:t>
      </w:r>
      <w:r>
        <w:t xml:space="preserve"> </w:t>
      </w:r>
      <w:r>
        <w:t xml:space="preserve">The current production run (2026-03-08) has accumulated</w:t>
      </w:r>
      <w:r>
        <w:t xml:space="preserve"> </w:t>
      </w:r>
      <m:oMath>
        <m:r>
          <m:rPr>
            <m:sty m:val="p"/>
          </m:rPr>
          <m:t>≃</m:t>
        </m:r>
        <m:r>
          <m:t>12</m:t>
        </m:r>
        <m:r>
          <m:t> </m:t>
        </m:r>
        <m:r>
          <m:t>300</m:t>
        </m:r>
      </m:oMath>
      <w:r>
        <w:t xml:space="preserve"> </w:t>
      </w:r>
      <w:r>
        <w:t xml:space="preserve">post-burn-in steps. The best-fit entry yields</w:t>
      </w:r>
      <w:r>
        <w:t xml:space="preserve"> </w:t>
      </w:r>
      <m:oMath>
        <m:r>
          <m:rPr>
            <m:sty m:val="p"/>
          </m:rPr>
          <m:t>−</m:t>
        </m:r>
        <m:r>
          <m:rPr>
            <m:sty m:val="p"/>
          </m:rPr>
          <m:t>ln</m:t>
        </m:r>
        <m:sSub>
          <m:e>
            <m:r>
              <m:rPr>
                <m:scr m:val="script"/>
                <m:sty m:val="p"/>
              </m:rPr>
              <m:t>L</m:t>
            </m:r>
          </m:e>
          <m:sub>
            <m:r>
              <m:t>α</m:t>
            </m:r>
          </m:sub>
        </m:sSub>
        <m:r>
          <m:rPr>
            <m:sty m:val="p"/>
          </m:rPr>
          <m:t>=</m:t>
        </m:r>
        <m:r>
          <m:t>1397.05</m:t>
        </m:r>
      </m:oMath>
      <w:r>
        <w:t xml:space="preserve">, to be compared with the ASG best-fit</w:t>
      </w:r>
      <w:r>
        <w:t xml:space="preserve"> </w:t>
      </w:r>
      <m:oMath>
        <m:r>
          <m:rPr>
            <m:sty m:val="p"/>
          </m:rPr>
          <m:t>−</m:t>
        </m:r>
        <m:r>
          <m:rPr>
            <m:sty m:val="p"/>
          </m:rPr>
          <m:t>ln</m:t>
        </m:r>
        <m:sSub>
          <m:e>
            <m:r>
              <m:rPr>
                <m:scr m:val="script"/>
                <m:sty m:val="p"/>
              </m:rPr>
              <m:t>L</m:t>
            </m:r>
          </m:e>
          <m:sub>
            <m:r>
              <m:rPr>
                <m:nor/>
                <m:sty m:val="p"/>
              </m:rPr>
              <m:t>ASG</m:t>
            </m:r>
          </m:sub>
        </m:sSub>
        <m:r>
          <m:rPr>
            <m:sty m:val="p"/>
          </m:rPr>
          <m:t>=</m:t>
        </m:r>
        <m:r>
          <m:t>1387.65</m:t>
        </m:r>
      </m:oMath>
      <w:r>
        <w:t xml:space="preserve"> </w:t>
      </w:r>
      <w:r>
        <w:t xml:space="preserve">obtained from the same likelihood</w:t>
      </w:r>
      <w:r>
        <w:t xml:space="preserve"> </w:t>
      </w:r>
      <w:r>
        <w:t xml:space="preserve">stack. Hence</w:t>
      </w:r>
    </w:p>
    <w:p>
      <w:pPr>
        <w:pStyle w:val="BodyText"/>
      </w:pPr>
      <m:oMathPara>
        <m:oMathParaPr>
          <m:jc m:val="center"/>
        </m:oMathParaPr>
        <m:oMath>
          <m:r>
            <m:rPr>
              <m:sty m:val="p"/>
            </m:rPr>
            <m:t>Δ</m:t>
          </m:r>
          <m:r>
            <m:rPr>
              <m:sty m:val="p"/>
            </m:rPr>
            <m:t>(</m:t>
          </m:r>
          <m:r>
            <m:rPr>
              <m:sty m:val="p"/>
            </m:rPr>
            <m:t>−</m:t>
          </m:r>
          <m:r>
            <m:rPr>
              <m:sty m:val="p"/>
            </m:rPr>
            <m:t>ln</m:t>
          </m:r>
          <m:r>
            <m:rPr>
              <m:scr m:val="script"/>
              <m:sty m:val="p"/>
            </m:rPr>
            <m:t>L</m:t>
          </m:r>
          <m:r>
            <m:rPr>
              <m:sty m:val="p"/>
            </m:rPr>
            <m:t>)</m:t>
          </m:r>
          <m:r>
            <m:rPr>
              <m:sty m:val="p"/>
            </m:rPr>
            <m:t>=</m:t>
          </m:r>
          <m:r>
            <m:t>1397.05</m:t>
          </m:r>
          <m:r>
            <m:rPr>
              <m:sty m:val="p"/>
            </m:rPr>
            <m:t>−</m:t>
          </m:r>
          <m:r>
            <m:t>1387.65</m:t>
          </m:r>
          <m:r>
            <m:rPr>
              <m:sty m:val="p"/>
            </m:rPr>
            <m:t>=</m:t>
          </m:r>
          <m:r>
            <m:t>9.40</m:t>
          </m:r>
          <m:r>
            <m:t> </m:t>
          </m:r>
          <m:r>
            <m:rPr>
              <m:sty m:val="p"/>
            </m:rPr>
            <m:t>⇒</m:t>
          </m:r>
          <m:r>
            <m:t> </m:t>
          </m:r>
          <m:r>
            <m:rPr>
              <m:sty m:val="p"/>
            </m:rPr>
            <m:t>Δ</m:t>
          </m:r>
          <m:sSup>
            <m:e>
              <m:r>
                <m:t>χ</m:t>
              </m:r>
            </m:e>
            <m:sup>
              <m:r>
                <m:t>2</m:t>
              </m:r>
            </m:sup>
          </m:sSup>
          <m:r>
            <m:rPr>
              <m:sty m:val="p"/>
            </m:rPr>
            <m:t>≡</m:t>
          </m:r>
          <m:r>
            <m:t>2</m:t>
          </m:r>
          <m:r>
            <m:t> </m:t>
          </m:r>
          <m:r>
            <m:rPr>
              <m:sty m:val="p"/>
            </m:rPr>
            <m:t>Δ</m:t>
          </m:r>
          <m:r>
            <m:rPr>
              <m:sty m:val="p"/>
            </m:rPr>
            <m:t>(</m:t>
          </m:r>
          <m:r>
            <m:rPr>
              <m:sty m:val="p"/>
            </m:rPr>
            <m:t>−</m:t>
          </m:r>
          <m:r>
            <m:rPr>
              <m:sty m:val="p"/>
            </m:rPr>
            <m:t>ln</m:t>
          </m:r>
          <m:r>
            <m:rPr>
              <m:scr m:val="script"/>
              <m:sty m:val="p"/>
            </m:rPr>
            <m:t>L</m:t>
          </m:r>
          <m:r>
            <m:rPr>
              <m:sty m:val="p"/>
            </m:rPr>
            <m:t>)</m:t>
          </m:r>
          <m:r>
            <m:rPr>
              <m:sty m:val="p"/>
            </m:rPr>
            <m:t>≃</m:t>
          </m:r>
          <m:r>
            <m:t>18.8</m:t>
          </m:r>
          <m:r>
            <m:rPr>
              <m:sty m:val="p"/>
            </m:rPr>
            <m:t>.</m:t>
          </m:r>
        </m:oMath>
      </m:oMathPara>
    </w:p>
    <w:p>
      <w:pPr>
        <w:pStyle w:val="FirstParagraph"/>
      </w:pPr>
      <w:r>
        <w:t xml:space="preserve">With the</w:t>
      </w:r>
      <w:r>
        <w:t xml:space="preserve"> </w:t>
      </w:r>
      <m:oMath>
        <m:r>
          <m:t>α</m:t>
        </m:r>
      </m:oMath>
      <w:r>
        <w:t xml:space="preserve">-attractor model carrying one fewer free parameter than ASG,</w:t>
      </w:r>
      <w:r>
        <w:t xml:space="preserve"> </w:t>
      </w:r>
      <w:r>
        <w:t xml:space="preserve">the AIC-corrected penalty is</w:t>
      </w:r>
      <w:r>
        <w:t xml:space="preserve"> </w:t>
      </w:r>
      <m:oMath>
        <m:r>
          <m:rPr>
            <m:sty m:val="p"/>
          </m:rPr>
          <m:t>Δ</m:t>
        </m:r>
        <m:r>
          <m:rPr>
            <m:nor/>
            <m:sty m:val="p"/>
          </m:rPr>
          <m:t>AIC</m:t>
        </m:r>
        <m:r>
          <m:rPr>
            <m:sty m:val="p"/>
          </m:rPr>
          <m:t>=</m:t>
        </m:r>
        <m:r>
          <m:t>18.8</m:t>
        </m:r>
        <m:r>
          <m:rPr>
            <m:sty m:val="p"/>
          </m:rPr>
          <m:t>−</m:t>
        </m:r>
        <m:r>
          <m:t>2</m:t>
        </m:r>
        <m:r>
          <m:rPr>
            <m:sty m:val="p"/>
          </m:rPr>
          <m:t>=</m:t>
        </m:r>
        <m:r>
          <m:t>16.8</m:t>
        </m:r>
      </m:oMath>
      <w:r>
        <w:t xml:space="preserve">,</w:t>
      </w:r>
      <w:r>
        <w:t xml:space="preserve"> </w:t>
      </w:r>
      <w:r>
        <w:t xml:space="preserve">confirming that the</w:t>
      </w:r>
      <w:r>
        <w:t xml:space="preserve"> </w:t>
      </w:r>
      <m:oMath>
        <m:r>
          <m:t>α</m:t>
        </m:r>
      </m:oMath>
      <w:r>
        <w:t xml:space="preserve">-attractor E-model is strongly disfavoured</w:t>
      </w:r>
      <w:r>
        <w:t xml:space="preserve"> </w:t>
      </w:r>
      <w:r>
        <w:t xml:space="preserve">relative to ASG on Planck 2018 TT,TE,EE+lowE+lensing data. Both chains are</w:t>
      </w:r>
      <w:r>
        <w:t xml:space="preserve"> </w:t>
      </w:r>
      <w:r>
        <w:t xml:space="preserve">ongoing (target</w:t>
      </w:r>
      <w:r>
        <w:t xml:space="preserve"> </w:t>
      </w:r>
      <m:oMath>
        <m:r>
          <m:t>2</m:t>
        </m:r>
        <m:r>
          <m:rPr>
            <m:sty m:val="p"/>
          </m:rPr>
          <m:t>×</m:t>
        </m:r>
        <m:sSup>
          <m:e>
            <m:r>
              <m:t>10</m:t>
            </m:r>
          </m:e>
          <m:sup>
            <m:r>
              <m:t>5</m:t>
            </m:r>
          </m:sup>
        </m:sSup>
      </m:oMath>
      <w:r>
        <w:t xml:space="preserve"> </w:t>
      </w:r>
      <w:r>
        <w:t xml:space="preserve">accepted steps); the best-fit values quoted</w:t>
      </w:r>
      <w:r>
        <w:t xml:space="preserve"> </w:t>
      </w:r>
      <w:r>
        <w:t xml:space="preserve">here are preliminary pending full convergence (</w:t>
      </w:r>
      <m:oMath>
        <m:acc>
          <m:accPr>
            <m:chr m:val="̂"/>
          </m:accPr>
          <m:e>
            <m:r>
              <m:t>R</m:t>
            </m:r>
          </m:e>
        </m:acc>
        <m:r>
          <m:rPr>
            <m:sty m:val="p"/>
          </m:rPr>
          <m:t>−</m:t>
        </m:r>
        <m:r>
          <m:t>1</m:t>
        </m:r>
        <m:r>
          <m:rPr>
            <m:sty m:val="p"/>
          </m:rPr>
          <m:t>&lt;</m:t>
        </m:r>
        <m:r>
          <m:t>0.05</m:t>
        </m:r>
      </m:oMath>
      <w:r>
        <w:t xml:space="preserve">).</w:t>
      </w:r>
      <w:r>
        <w:t xml:space="preserve"> </w:t>
      </w:r>
      <w:r>
        <w:t xml:space="preserve">Table</w:t>
      </w:r>
      <w:r>
        <w:t xml:space="preserve"> </w:t>
      </w:r>
      <w:hyperlink w:anchor="tab:alpha-hyper">
        <w:r>
          <w:rPr>
            <w:rStyle w:val="Hyperlink"/>
          </w:rPr>
          <w:t xml:space="preserve">3</w:t>
        </w:r>
      </w:hyperlink>
      <w:r>
        <w:t xml:space="preserve"> </w:t>
      </w:r>
      <w:r>
        <w:t xml:space="preserve">summarizes the</w:t>
      </w:r>
      <w:r>
        <w:t xml:space="preserve"> </w:t>
      </w:r>
      <m:oMath>
        <m:r>
          <m:t>α</m:t>
        </m:r>
      </m:oMath>
      <w:r>
        <w:t xml:space="preserve">-attractor bridge</w:t>
      </w:r>
      <w:r>
        <w:t xml:space="preserve"> </w:t>
      </w:r>
      <w:r>
        <w:t xml:space="preserve">parameters at the current best-fit point.</w:t>
      </w:r>
    </w:p>
    <w:bookmarkStart w:id="15" w:name="tab:alpha-hyper"/>
    <w:p>
      <w:pPr>
        <w:pStyle w:val="TableCaption"/>
      </w:pPr>
      <w:r>
        <w:t xml:space="preserve">α-attractor posterior summary</w:t>
      </w:r>
      <w:r>
        <w:t xml:space="preserve"> </w:t>
      </w:r>
      <w:r>
        <w:t xml:space="preserve">:</w:t>
      </w:r>
    </w:p>
    <w:tbl>
      <w:tblPr>
        <w:tblStyle w:val="Table"/>
        <w:tblW w:type="pct" w:w="5000"/>
        <w:tblLayout w:type="fixed"/>
        <w:tblLook w:firstRow="1" w:lastRow="0" w:firstColumn="0" w:lastColumn="0" w:noHBand="0" w:noVBand="0" w:val="0020"/>
        <w:tblCaption w:val="α-attractor posterior summary :"/>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r>
      <w:tr>
        <w:tc>
          <w:tcPr/>
          <w:p>
            <w:pPr>
              <w:pStyle w:val="Compact"/>
              <w:jc w:val="left"/>
            </w:pPr>
            <m:oMath>
              <m:r>
                <m:t>ϵ</m:t>
              </m:r>
            </m:oMath>
          </w:p>
        </w:tc>
        <w:tc>
          <w:tcPr/>
          <w:p>
            <w:pPr>
              <w:pStyle w:val="Compact"/>
              <w:jc w:val="center"/>
            </w:pPr>
            <m:oMath>
              <m:r>
                <m:t>3.22</m:t>
              </m:r>
              <m:r>
                <m:rPr>
                  <m:sty m:val="p"/>
                </m:rPr>
                <m:t>×</m:t>
              </m:r>
              <m:sSup>
                <m:e>
                  <m:r>
                    <m:t>10</m:t>
                  </m:r>
                </m:e>
                <m:sup>
                  <m:r>
                    <m:rPr>
                      <m:sty m:val="p"/>
                    </m:rPr>
                    <m:t>−</m:t>
                  </m:r>
                  <m:r>
                    <m:t>3</m:t>
                  </m:r>
                </m:sup>
              </m:sSup>
            </m:oMath>
          </w:p>
        </w:tc>
        <w:tc>
          <w:tcPr/>
          <w:p>
            <w:pPr>
              <w:pStyle w:val="Compact"/>
              <w:jc w:val="center"/>
            </w:pPr>
            <m:oMath>
              <m:r>
                <m:rPr>
                  <m:sty m:val="p"/>
                </m:rPr>
                <m:t>[</m:t>
              </m:r>
              <m:r>
                <m:t>2.71</m:t>
              </m:r>
              <m:r>
                <m:rPr>
                  <m:sty m:val="p"/>
                </m:rPr>
                <m:t>,</m:t>
              </m:r>
              <m:r>
                <m:t> </m:t>
              </m:r>
              <m:r>
                <m:t>3.76</m:t>
              </m:r>
              <m:r>
                <m:rPr>
                  <m:sty m:val="p"/>
                </m:rPr>
                <m:t>]</m:t>
              </m:r>
              <m:r>
                <m:rPr>
                  <m:sty m:val="p"/>
                </m:rPr>
                <m:t>×</m:t>
              </m:r>
              <m:sSup>
                <m:e>
                  <m:r>
                    <m:t>10</m:t>
                  </m:r>
                </m:e>
                <m:sup>
                  <m:r>
                    <m:rPr>
                      <m:sty m:val="p"/>
                    </m:rPr>
                    <m:t>−</m:t>
                  </m:r>
                  <m:r>
                    <m:t>3</m:t>
                  </m:r>
                </m:sup>
              </m:sSup>
            </m:oMath>
          </w:p>
        </w:tc>
      </w:tr>
      <w:tr>
        <w:tc>
          <w:tcPr/>
          <w:p>
            <w:pPr>
              <w:pStyle w:val="Compact"/>
              <w:jc w:val="left"/>
            </w:pPr>
            <m:oMath>
              <m:r>
                <m:t>c</m:t>
              </m:r>
            </m:oMath>
          </w:p>
        </w:tc>
        <w:tc>
          <w:tcPr/>
          <w:p>
            <w:pPr>
              <w:pStyle w:val="Compact"/>
              <w:jc w:val="center"/>
            </w:pPr>
            <w:r>
              <w:t xml:space="preserve">1.32</w:t>
            </w:r>
          </w:p>
        </w:tc>
        <w:tc>
          <w:tcPr/>
          <w:p>
            <w:pPr>
              <w:pStyle w:val="Compact"/>
              <w:jc w:val="center"/>
            </w:pPr>
            <m:oMath>
              <m:r>
                <m:rPr>
                  <m:sty m:val="p"/>
                </m:rPr>
                <m:t>[</m:t>
              </m:r>
              <m:r>
                <m:t>0.68</m:t>
              </m:r>
              <m:r>
                <m:rPr>
                  <m:sty m:val="p"/>
                </m:rPr>
                <m:t>,</m:t>
              </m:r>
              <m:r>
                <m:t> </m:t>
              </m:r>
              <m:r>
                <m:t>1.68</m:t>
              </m:r>
              <m:r>
                <m:rPr>
                  <m:sty m:val="p"/>
                </m:rPr>
                <m:t>]</m:t>
              </m:r>
            </m:oMath>
          </w:p>
        </w:tc>
      </w:tr>
      <w:tr>
        <w:tc>
          <w:tcPr/>
          <w:p>
            <w:pPr>
              <w:pStyle w:val="Compact"/>
              <w:jc w:val="left"/>
            </w:pPr>
            <m:oMath>
              <m:r>
                <m:rPr>
                  <m:sty m:val="p"/>
                </m:rPr>
                <m:t>Λ</m:t>
              </m:r>
            </m:oMath>
          </w:p>
        </w:tc>
        <w:tc>
          <w:tcPr/>
          <w:p>
            <w:pPr>
              <w:pStyle w:val="Compact"/>
              <w:jc w:val="center"/>
            </w:pPr>
            <m:oMath>
              <m:r>
                <m:t>6.1</m:t>
              </m:r>
              <m:r>
                <m:rPr>
                  <m:sty m:val="p"/>
                </m:rPr>
                <m:t>×</m:t>
              </m:r>
              <m:sSup>
                <m:e>
                  <m:r>
                    <m:t>10</m:t>
                  </m:r>
                </m:e>
                <m:sup>
                  <m:r>
                    <m:rPr>
                      <m:sty m:val="p"/>
                    </m:rPr>
                    <m:t>−</m:t>
                  </m:r>
                  <m:r>
                    <m:t>11</m:t>
                  </m:r>
                </m:sup>
              </m:sSup>
            </m:oMath>
          </w:p>
        </w:tc>
        <w:tc>
          <w:tcPr/>
          <w:p>
            <w:pPr>
              <w:pStyle w:val="Compact"/>
              <w:jc w:val="center"/>
            </w:pPr>
            <m:oMath>
              <m:r>
                <m:rPr>
                  <m:sty m:val="p"/>
                </m:rPr>
                <m:t>[</m:t>
              </m:r>
              <m:r>
                <m:t>3.1</m:t>
              </m:r>
              <m:r>
                <m:rPr>
                  <m:sty m:val="p"/>
                </m:rPr>
                <m:t>,</m:t>
              </m:r>
              <m:r>
                <m:t> </m:t>
              </m:r>
              <m:r>
                <m:t>9.9</m:t>
              </m:r>
              <m:r>
                <m:rPr>
                  <m:sty m:val="p"/>
                </m:rPr>
                <m:t>]</m:t>
              </m:r>
              <m:r>
                <m:rPr>
                  <m:sty m:val="p"/>
                </m:rPr>
                <m:t>×</m:t>
              </m:r>
              <m:sSup>
                <m:e>
                  <m:r>
                    <m:t>10</m:t>
                  </m:r>
                </m:e>
                <m:sup>
                  <m:r>
                    <m:rPr>
                      <m:sty m:val="p"/>
                    </m:rPr>
                    <m:t>−</m:t>
                  </m:r>
                  <m:r>
                    <m:t>11</m:t>
                  </m:r>
                </m:sup>
              </m:sSup>
            </m:oMath>
          </w:p>
        </w:tc>
      </w:tr>
    </w:tbl>
    <w:bookmarkEnd w:id="15"/>
    <w:p>
      <w:pPr>
        <w:pStyle w:val="BodyText"/>
      </w:pPr>
      <w:r>
        <w:t xml:space="preserve">The α-attractor posterior volume sits far from the ASG bridge region:</w:t>
      </w:r>
      <w:r>
        <w:t xml:space="preserve"> </w:t>
      </w:r>
      <w:r>
        <w:t xml:space="preserve">the former prefers</w:t>
      </w:r>
      <w:r>
        <w:t xml:space="preserve"> </w:t>
      </w:r>
      <m:oMath>
        <m:r>
          <m:t>ϵ</m:t>
        </m:r>
        <m:r>
          <m:rPr>
            <m:sty m:val="p"/>
          </m:rPr>
          <m:t>∼</m:t>
        </m:r>
        <m:sSup>
          <m:e>
            <m:r>
              <m:t>10</m:t>
            </m:r>
          </m:e>
          <m:sup>
            <m:r>
              <m:rPr>
                <m:sty m:val="p"/>
              </m:rPr>
              <m:t>−</m:t>
            </m:r>
            <m:r>
              <m:t>3</m:t>
            </m:r>
          </m:sup>
        </m:sSup>
      </m:oMath>
      <w:r>
        <w:t xml:space="preserve"> </w:t>
      </w:r>
      <w:r>
        <w:t xml:space="preserve">and</w:t>
      </w:r>
      <w:r>
        <w:t xml:space="preserve"> </w:t>
      </w:r>
      <m:oMath>
        <m:r>
          <m:t>c</m:t>
        </m:r>
        <m:r>
          <m:rPr>
            <m:sty m:val="p"/>
          </m:rPr>
          <m:t>∼</m:t>
        </m:r>
        <m:r>
          <m:rPr>
            <m:scr m:val="script"/>
            <m:sty m:val="p"/>
          </m:rPr>
          <m:t>O</m:t>
        </m:r>
        <m:r>
          <m:rPr>
            <m:sty m:val="p"/>
          </m:rPr>
          <m:t>(</m:t>
        </m:r>
        <m:r>
          <m:t>1</m:t>
        </m:r>
        <m:r>
          <m:rPr>
            <m:sty m:val="p"/>
          </m:rPr>
          <m:t>)</m:t>
        </m:r>
      </m:oMath>
      <w:r>
        <w:t xml:space="preserve">, while</w:t>
      </w:r>
      <w:r>
        <w:t xml:space="preserve"> </w:t>
      </w:r>
      <w:r>
        <w:t xml:space="preserve">the latter clusters around</w:t>
      </w:r>
      <w:r>
        <w:t xml:space="preserve"> </w:t>
      </w:r>
      <m:oMath>
        <m:r>
          <m:t>β</m:t>
        </m:r>
        <m:r>
          <m:rPr>
            <m:sty m:val="p"/>
          </m:rPr>
          <m:t>∼</m:t>
        </m:r>
        <m:r>
          <m:t>0.36</m:t>
        </m:r>
      </m:oMath>
      <w:r>
        <w:t xml:space="preserve"> </w:t>
      </w:r>
      <w:r>
        <w:t xml:space="preserve">and</w:t>
      </w:r>
      <w:r>
        <w:t xml:space="preserve"> </w:t>
      </w:r>
      <m:oMath>
        <m:r>
          <m:rPr>
            <m:sty m:val="p"/>
          </m:rPr>
          <m:t>Δ</m:t>
        </m:r>
        <m:r>
          <m:rPr>
            <m:sty m:val="p"/>
          </m:rPr>
          <m:t>∼</m:t>
        </m:r>
        <m:r>
          <m:t>0.70</m:t>
        </m:r>
      </m:oMath>
      <w:r>
        <w:t xml:space="preserve">.</w:t>
      </w:r>
      <w:r>
        <w:t xml:space="preserve"> </w:t>
      </w:r>
      <w:r>
        <w:t xml:space="preserve">Figure </w:t>
      </w:r>
      <w:hyperlink w:anchor="fig:asg-vs-alpha">
        <w:r>
          <w:rPr>
            <w:rStyle w:val="Hyperlink"/>
          </w:rPr>
          <w:t xml:space="preserve">1</w:t>
        </w:r>
      </w:hyperlink>
      <w:r>
        <w:t xml:space="preserve"> </w:t>
      </w:r>
      <w:r>
        <w:t xml:space="preserve">(archived in</w:t>
      </w:r>
      <w:r>
        <w:t xml:space="preserve"> </w:t>
      </w:r>
      <w:r>
        <w:rPr>
          <w:rStyle w:val="VerbatimChar"/>
        </w:rPr>
        <w:t xml:space="preserve">figures/comparison/asg_vs_alpha_hyperparams.{png,pdf}</w:t>
      </w:r>
      <w:r>
        <w:t xml:space="preserve">) visualizes the</w:t>
      </w:r>
      <w:r>
        <w:t xml:space="preserve"> </w:t>
      </w:r>
      <w:r>
        <w:t xml:space="preserve">disjoint support by over-plotting ASG</w:t>
      </w:r>
      <w:r>
        <w:t xml:space="preserve"> </w:t>
      </w:r>
      <m:oMath>
        <m:r>
          <m:rPr>
            <m:sty m:val="p"/>
          </m:rPr>
          <m:t>(</m:t>
        </m:r>
        <m:r>
          <m:t>β</m:t>
        </m:r>
        <m:r>
          <m:rPr>
            <m:sty m:val="p"/>
          </m:rPr>
          <m:t>,</m:t>
        </m:r>
        <m:r>
          <m:rPr>
            <m:sty m:val="p"/>
          </m:rPr>
          <m:t>Δ</m:t>
        </m:r>
        <m:r>
          <m:rPr>
            <m:sty m:val="p"/>
          </m:rPr>
          <m:t>)</m:t>
        </m:r>
      </m:oMath>
      <w:r>
        <w:t xml:space="preserve"> </w:t>
      </w:r>
      <w:r>
        <w:t xml:space="preserve">samples against the</w:t>
      </w:r>
      <w:r>
        <w:t xml:space="preserve"> </w:t>
      </w:r>
      <w:r>
        <w:t xml:space="preserve">α-attractor</w:t>
      </w:r>
      <w:r>
        <w:t xml:space="preserve"> </w:t>
      </w:r>
      <m:oMath>
        <m:r>
          <m:rPr>
            <m:sty m:val="p"/>
          </m:rPr>
          <m:t>(</m:t>
        </m:r>
        <m:r>
          <m:t>ϵ</m:t>
        </m:r>
        <m:r>
          <m:rPr>
            <m:sty m:val="p"/>
          </m:rPr>
          <m:t>,</m:t>
        </m:r>
        <m:r>
          <m:t>c</m:t>
        </m:r>
        <m:r>
          <m:rPr>
            <m:sty m:val="p"/>
          </m:rPr>
          <m:t>)</m:t>
        </m:r>
      </m:oMath>
      <w:r>
        <w:t xml:space="preserve"> </w:t>
      </w:r>
      <w:r>
        <w:t xml:space="preserve">hyper-parameters using weighted resampling.</w:t>
      </w:r>
    </w:p>
    <w:tbl>
      <w:tblPr>
        <w:tblStyle w:val="Table"/>
        <w:tblW w:type="pct" w:w="5000"/>
        <w:tblLayout w:type="fixed"/>
        <w:tblLook w:firstRow="0" w:lastRow="0" w:firstColumn="0" w:lastColumn="0" w:noHBand="0" w:noVBand="0" w:val="0000"/>
      </w:tblPr>
      <w:tblGrid>
        <w:gridCol w:w="7920"/>
      </w:tblGrid>
      <w:tr>
        <w:tc>
          <w:tcPr/>
          <w:p>
            <w:pPr>
              <w:pStyle w:val="Compact"/>
              <w:jc w:val="center"/>
            </w:pPr>
            <w:bookmarkStart w:id="16" w:name="fig:asg-vs-alpha"/>
            <w:r>
              <w:t xml:space="preserve">ASG vs. </w:t>
            </w:r>
            <m:oMath>
              <m:r>
                <m:t>α</m:t>
              </m:r>
            </m:oMath>
            <w:r>
              <w:t xml:space="preserve">-attractor hyper-parameter comparison</w:t>
            </w:r>
            <w:bookmarkEnd w:id="16"/>
          </w:p>
        </w:tc>
      </w:tr>
    </w:tbl>
    <w:p>
      <w:pPr>
        <w:pStyle w:val="BodyText"/>
      </w:pPr>
      <w:r>
        <w:t xml:space="preserve">ASG</w:t>
      </w:r>
      <w:r>
        <w:t xml:space="preserve"> </w:t>
      </w:r>
      <m:oMath>
        <m:r>
          <m:rPr>
            <m:sty m:val="p"/>
          </m:rPr>
          <m:t>(</m:t>
        </m:r>
        <m:r>
          <m:t>β</m:t>
        </m:r>
        <m:r>
          <m:rPr>
            <m:sty m:val="p"/>
          </m:rPr>
          <m:t>,</m:t>
        </m:r>
        <m:r>
          <m:rPr>
            <m:sty m:val="p"/>
          </m:rPr>
          <m:t>Δ</m:t>
        </m:r>
        <m:r>
          <m:rPr>
            <m:sty m:val="p"/>
          </m:rPr>
          <m:t>)</m:t>
        </m:r>
      </m:oMath>
      <w:r>
        <w:t xml:space="preserve"> </w:t>
      </w:r>
      <w:r>
        <w:t xml:space="preserve">(green points) and α-attractor</w:t>
      </w:r>
      <w:r>
        <w:t xml:space="preserve"> </w:t>
      </w:r>
      <m:oMath>
        <m:r>
          <m:rPr>
            <m:sty m:val="p"/>
          </m:rPr>
          <m:t>(</m:t>
        </m:r>
        <m:r>
          <m:t>ϵ</m:t>
        </m:r>
        <m:r>
          <m:rPr>
            <m:sty m:val="p"/>
          </m:rPr>
          <m:t>,</m:t>
        </m:r>
        <m:r>
          <m:t>c</m:t>
        </m:r>
        <m:r>
          <m:rPr>
            <m:sty m:val="p"/>
          </m:rPr>
          <m:t>)</m:t>
        </m:r>
      </m:oMath>
      <w:r>
        <w:t xml:space="preserve"> </w:t>
      </w:r>
      <w:r>
        <w:t xml:space="preserve">(orange</w:t>
      </w:r>
      <w:r>
        <w:t xml:space="preserve"> </w:t>
      </w:r>
      <w:r>
        <w:t xml:space="preserve">points) weighted samples show non-overlapping support, reinforcing that</w:t>
      </w:r>
      <w:r>
        <w:t xml:space="preserve"> </w:t>
      </w:r>
      <w:r>
        <w:t xml:space="preserve">the RG threshold cannot be mimicked by α-attractor tuning within the same</w:t>
      </w:r>
      <w:r>
        <w:t xml:space="preserve"> </w:t>
      </w:r>
      <w:r>
        <w:t xml:space="preserve">Planck likelihood stack. The visual separation matches the numerical</w:t>
      </w:r>
      <w:r>
        <w:t xml:space="preserve"> </w:t>
      </w:r>
      <w:r>
        <w:t xml:space="preserve">Δχ² penalty quoted above.</w:t>
      </w:r>
    </w:p>
    <w:bookmarkEnd w:id="17"/>
    <w:bookmarkEnd w:id="18"/>
    <w:bookmarkStart w:id="19" w:name="renormalization-group-perspective"/>
    <w:p>
      <w:pPr>
        <w:pStyle w:val="Heading1"/>
      </w:pPr>
      <w:r>
        <w:t xml:space="preserve">Renormalization-Group Perspective</w:t>
      </w:r>
    </w:p>
    <w:p>
      <w:pPr>
        <w:pStyle w:val="FirstParagraph"/>
      </w:pPr>
      <w:r>
        <w:t xml:space="preserve">The ASG threshold structure mirrors the FRG flow equations studied in</w:t>
      </w:r>
      <w:r>
        <w:t xml:space="preserve"> </w:t>
      </w:r>
      <w:r>
        <w:t xml:space="preserve">asymptotic-safety programs . In particular, the Gaussian-matter fixed</w:t>
      </w:r>
      <w:r>
        <w:t xml:space="preserve"> </w:t>
      </w:r>
      <w:r>
        <w:t xml:space="preserve">point induces running in the Newton coupling that can be captured by the</w:t>
      </w:r>
      <w:r>
        <w:t xml:space="preserve"> </w:t>
      </w:r>
      <w:r>
        <w:t xml:space="preserve">parametrization above, while loop-quantum-cosmology analyses emphasize</w:t>
      </w:r>
      <w:r>
        <w:t xml:space="preserve"> </w:t>
      </w:r>
      <w:r>
        <w:t xml:space="preserve">the importance of retaining the full</w:t>
      </w:r>
      <w:r>
        <w:t xml:space="preserve"> </w:t>
      </w:r>
      <m:oMath>
        <m:r>
          <m:t>K</m:t>
        </m:r>
        <m:r>
          <m:rPr>
            <m:sty m:val="p"/>
          </m:rPr>
          <m:t>(</m:t>
        </m:r>
        <m:r>
          <m:t>χ</m:t>
        </m:r>
        <m:r>
          <m:rPr>
            <m:sty m:val="p"/>
          </m:rPr>
          <m:t>)</m:t>
        </m:r>
      </m:oMath>
      <w:r>
        <w:t xml:space="preserve"> </w:t>
      </w:r>
      <w:r>
        <w:t xml:space="preserve">factor when matching</w:t>
      </w:r>
      <w:r>
        <w:t xml:space="preserve"> </w:t>
      </w:r>
      <w:r>
        <w:t xml:space="preserve">across EFT domains.</w:t>
      </w:r>
    </w:p>
    <w:bookmarkEnd w:id="19"/>
    <w:bookmarkStart w:id="24" w:name="representative-figures"/>
    <w:p>
      <w:pPr>
        <w:pStyle w:val="Heading1"/>
      </w:pPr>
      <w:r>
        <w:t xml:space="preserve">Representative Figures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w:t>
      </w:r>
      <w:r>
        <w:t xml:space="preserve"> </w:t>
      </w:r>
      <w:r>
        <w:t xml:space="preserve">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Effective Planck mass</w:t>
      </w:r>
      <w:r>
        <w:t xml:space="preserve"> </w:t>
      </w:r>
      <m:oMath>
        <m:r>
          <m:t>F</m:t>
        </m:r>
        <m:r>
          <m:rPr>
            <m:sty m:val="p"/>
          </m:rPr>
          <m:t>(</m:t>
        </m:r>
        <m:r>
          <m:t>χ</m:t>
        </m:r>
        <m:r>
          <m:rPr>
            <m:sty m:val="p"/>
          </m:rPr>
          <m:t>)</m:t>
        </m:r>
      </m:oMath>
      <w:r>
        <w:t xml:space="preserve"> </w:t>
      </w:r>
      <w:r>
        <w:t xml:space="preserve">(left) and the corresponding</w:t>
      </w:r>
      <w:r>
        <w:t xml:space="preserve"> </w:t>
      </w:r>
      <w:r>
        <w:t xml:space="preserve">Einstein-frame potential</w:t>
      </w:r>
      <w:r>
        <w:t xml:space="preserve"> </w:t>
      </w:r>
      <m:oMath>
        <m:r>
          <m:t>U</m:t>
        </m:r>
        <m:r>
          <m:rPr>
            <m:sty m:val="p"/>
          </m:rPr>
          <m:t>(</m:t>
        </m:r>
        <m:r>
          <m:t>χ</m:t>
        </m:r>
        <m:r>
          <m:rPr>
            <m:sty m:val="p"/>
          </m:rPr>
          <m:t>)</m:t>
        </m:r>
      </m:oMath>
      <w:r>
        <w:t xml:space="preserve"> </w:t>
      </w:r>
      <w:r>
        <w:t xml:space="preserve">(right), normalized for visual</w:t>
      </w:r>
      <w:r>
        <w:t xml:space="preserve"> </w:t>
      </w:r>
      <w:r>
        <w:t xml:space="preserve">comparison.</w:t>
      </w:r>
    </w:p>
    <w:bookmarkStart w:id="23" w:name="live-chain-results-2026-03-08t2205z"/>
    <w:p>
      <w:pPr>
        <w:pStyle w:val="Heading2"/>
      </w:pPr>
      <w:r>
        <w:t xml:space="preserve">Live Chain Results — 2026-03-08T22:05Z</w:t>
      </w:r>
    </w:p>
    <w:p>
      <w:pPr>
        <w:pStyle w:val="BlockText"/>
      </w:pPr>
      <w:r>
        <w:rPr>
          <w:b/>
          <w:bCs/>
        </w:rPr>
        <w:t xml:space="preserve">Status:</w:t>
      </w:r>
      <w:r>
        <w:t xml:space="preserve"> </w:t>
      </w:r>
      <w:r>
        <w:t xml:space="preserve">Chains still running — 2,435 ASG-weighted samples (2,005 stored rows) / 14,025 α-attractor weighted samples (11,835 rows).</w:t>
      </w:r>
      <w:r>
        <w:t xml:space="preserve"> </w:t>
      </w:r>
      <w:r>
        <w:t xml:space="preserve">Results are preliminary best-fit + weighted-sample statistics (not converged posteriors).</w:t>
      </w:r>
      <w:r>
        <w:t xml:space="preserve"> </w:t>
      </w:r>
      <w:r>
        <w:t xml:space="preserve">Full summary serialized to</w:t>
      </w:r>
      <w:r>
        <w:t xml:space="preserve"> </w:t>
      </w:r>
      <w:r>
        <w:rPr>
          <w:rStyle w:val="VerbatimChar"/>
        </w:rPr>
        <w:t xml:space="preserve">q/l1/chain_results_regenerated.json</w:t>
      </w:r>
      <w:r>
        <w:t xml:space="preserve">.</w:t>
      </w:r>
    </w:p>
    <w:bookmarkStart w:id="20" w:name="Xc709963293e2bab5992432d2dcd6a3aa16fc4bd"/>
    <w:p>
      <w:pPr>
        <w:pStyle w:val="Heading3"/>
      </w:pPr>
      <w:r>
        <w:t xml:space="preserve">ASG (Active Screen Gravity) — chains/asg_chain/2026-03-08_200000__3.txt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Parameter</w:t>
            </w:r>
          </w:p>
        </w:tc>
        <w:tc>
          <w:tcPr/>
          <w:p>
            <w:pPr>
              <w:pStyle w:val="Compact"/>
              <w:jc w:val="center"/>
            </w:pPr>
            <w:r>
              <w:t xml:space="preserve">Best-fit</w:t>
            </w:r>
          </w:p>
        </w:tc>
        <w:tc>
          <w:tcPr/>
          <w:p>
            <w:pPr>
              <w:pStyle w:val="Compact"/>
              <w:jc w:val="center"/>
            </w:pPr>
            <w:r>
              <w:t xml:space="preserve">Weighted mean</w:t>
            </w:r>
          </w:p>
        </w:tc>
        <w:tc>
          <w:tcPr/>
          <w:p>
            <w:pPr>
              <w:pStyle w:val="Compact"/>
              <w:jc w:val="center"/>
            </w:pPr>
            <w:r>
              <w:t xml:space="preserve">±σ</w:t>
            </w:r>
          </w:p>
        </w:tc>
        <w:tc>
          <w:tcPr/>
          <w:p>
            <w:pPr>
              <w:pStyle w:val="Compact"/>
              <w:jc w:val="center"/>
            </w:pPr>
            <w:r>
              <w:t xml:space="preserve">68% C.I.</w:t>
            </w:r>
          </w:p>
        </w:tc>
      </w:tr>
      <w:tr>
        <w:tc>
          <w:tcPr/>
          <w:p>
            <w:pPr>
              <w:pStyle w:val="Compact"/>
              <w:jc w:val="left"/>
            </w:pPr>
            <w:r>
              <w:t xml:space="preserve">β</w:t>
            </w:r>
          </w:p>
        </w:tc>
        <w:tc>
          <w:tcPr/>
          <w:p>
            <w:pPr>
              <w:pStyle w:val="Compact"/>
              <w:jc w:val="center"/>
            </w:pPr>
            <w:r>
              <w:t xml:space="preserve">0.03638</w:t>
            </w:r>
          </w:p>
        </w:tc>
        <w:tc>
          <w:tcPr/>
          <w:p>
            <w:pPr>
              <w:pStyle w:val="Compact"/>
              <w:jc w:val="center"/>
            </w:pPr>
            <w:r>
              <w:t xml:space="preserve">0.02724</w:t>
            </w:r>
          </w:p>
        </w:tc>
        <w:tc>
          <w:tcPr/>
          <w:p>
            <w:pPr>
              <w:pStyle w:val="Compact"/>
              <w:jc w:val="center"/>
            </w:pPr>
            <w:r>
              <w:t xml:space="preserve">0.01209</w:t>
            </w:r>
          </w:p>
        </w:tc>
        <w:tc>
          <w:tcPr/>
          <w:p>
            <w:pPr>
              <w:pStyle w:val="Compact"/>
              <w:jc w:val="center"/>
            </w:pPr>
            <w:r>
              <w:t xml:space="preserve">[0.0146, 0.0410]</w:t>
            </w:r>
          </w:p>
        </w:tc>
      </w:tr>
      <w:tr>
        <w:tc>
          <w:tcPr/>
          <w:p>
            <w:pPr>
              <w:pStyle w:val="Compact"/>
              <w:jc w:val="left"/>
            </w:pPr>
            <w:r>
              <w:t xml:space="preserve">Δ /</w:t>
            </w:r>
            <w:r>
              <w:t xml:space="preserve"> </w:t>
            </w:r>
            <w:r>
              <w:t xml:space="preserve">$M_{\rm Pl}$</w:t>
            </w:r>
          </w:p>
        </w:tc>
        <w:tc>
          <w:tcPr/>
          <w:p>
            <w:pPr>
              <w:pStyle w:val="Compact"/>
              <w:jc w:val="center"/>
            </w:pPr>
            <w:r>
              <w:t xml:space="preserve">1.6243</w:t>
            </w:r>
          </w:p>
        </w:tc>
        <w:tc>
          <w:tcPr/>
          <w:p>
            <w:pPr>
              <w:pStyle w:val="Compact"/>
              <w:jc w:val="center"/>
            </w:pPr>
            <w:r>
              <w:t xml:space="preserve">1.7116</w:t>
            </w:r>
          </w:p>
        </w:tc>
        <w:tc>
          <w:tcPr/>
          <w:p>
            <w:pPr>
              <w:pStyle w:val="Compact"/>
              <w:jc w:val="center"/>
            </w:pPr>
            <w:r>
              <w:t xml:space="preserve">0.1533</w:t>
            </w:r>
          </w:p>
        </w:tc>
        <w:tc>
          <w:tcPr/>
          <w:p>
            <w:pPr>
              <w:pStyle w:val="Compact"/>
              <w:jc w:val="center"/>
            </w:pPr>
            <w:r>
              <w:t xml:space="preserve">[1.564, 1.883]</w:t>
            </w:r>
          </w:p>
        </w:tc>
      </w:tr>
      <w:tr>
        <w:tc>
          <w:tcPr/>
          <w:p>
            <w:pPr>
              <w:pStyle w:val="Compact"/>
              <w:jc w:val="left"/>
            </w:pPr>
            <w:r>
              <w:t xml:space="preserve">χ₀ /</w:t>
            </w:r>
            <w:r>
              <w:t xml:space="preserve"> </w:t>
            </w:r>
            <w:r>
              <w:t xml:space="preserve">$M_{\rm Pl}$</w:t>
            </w:r>
          </w:p>
        </w:tc>
        <w:tc>
          <w:tcPr/>
          <w:p>
            <w:pPr>
              <w:pStyle w:val="Compact"/>
              <w:jc w:val="center"/>
            </w:pPr>
            <w:r>
              <w:t xml:space="preserve">3.7041</w:t>
            </w:r>
          </w:p>
        </w:tc>
        <w:tc>
          <w:tcPr/>
          <w:p>
            <w:pPr>
              <w:pStyle w:val="Compact"/>
              <w:jc w:val="center"/>
            </w:pPr>
            <w:r>
              <w:t xml:space="preserve">4.4073</w:t>
            </w:r>
          </w:p>
        </w:tc>
        <w:tc>
          <w:tcPr/>
          <w:p>
            <w:pPr>
              <w:pStyle w:val="Compact"/>
              <w:jc w:val="center"/>
            </w:pPr>
            <w:r>
              <w:t xml:space="preserve">0.2270</w:t>
            </w:r>
          </w:p>
        </w:tc>
        <w:tc>
          <w:tcPr/>
          <w:p>
            <w:pPr>
              <w:pStyle w:val="Compact"/>
              <w:jc w:val="center"/>
            </w:pPr>
            <w:r>
              <w:t xml:space="preserve">[4.209, 4.605]</w:t>
            </w:r>
          </w:p>
        </w:tc>
      </w:tr>
      <w:tr>
        <w:tc>
          <w:tcPr/>
          <w:p>
            <w:pPr>
              <w:pStyle w:val="Compact"/>
              <w:jc w:val="left"/>
            </w:pPr>
            <w:r>
              <w:t xml:space="preserve">μ /</w:t>
            </w:r>
            <w:r>
              <w:t xml:space="preserve"> </w:t>
            </w:r>
            <w:r>
              <w:t xml:space="preserve">$M_{\rm Pl}$</w:t>
            </w:r>
          </w:p>
        </w:tc>
        <w:tc>
          <w:tcPr/>
          <w:p>
            <w:pPr>
              <w:pStyle w:val="Compact"/>
              <w:jc w:val="center"/>
            </w:pPr>
            <w:r>
              <w:t xml:space="preserve">2.1418</w:t>
            </w:r>
          </w:p>
        </w:tc>
        <w:tc>
          <w:tcPr/>
          <w:p>
            <w:pPr>
              <w:pStyle w:val="Compact"/>
              <w:jc w:val="center"/>
            </w:pPr>
            <w:r>
              <w:t xml:space="preserve">2.6336</w:t>
            </w:r>
          </w:p>
        </w:tc>
        <w:tc>
          <w:tcPr/>
          <w:p>
            <w:pPr>
              <w:pStyle w:val="Compact"/>
              <w:jc w:val="center"/>
            </w:pPr>
            <w:r>
              <w:t xml:space="preserve">0.5119</w:t>
            </w:r>
          </w:p>
        </w:tc>
        <w:tc>
          <w:tcPr/>
          <w:p>
            <w:pPr>
              <w:pStyle w:val="Compact"/>
              <w:jc w:val="center"/>
            </w:pPr>
            <w:r>
              <w:t xml:space="preserve">[2.090, 3.143]</w:t>
            </w:r>
          </w:p>
        </w:tc>
      </w:tr>
      <w:tr>
        <w:tc>
          <w:tcPr/>
          <w:p>
            <w:pPr>
              <w:pStyle w:val="Compact"/>
              <w:jc w:val="left"/>
            </w:pPr>
            <m:oMath>
              <m:sSub>
                <m:e>
                  <m:r>
                    <m:t>ω</m:t>
                  </m:r>
                </m:e>
                <m:sub>
                  <m:r>
                    <m:t>b</m:t>
                  </m:r>
                </m:sub>
              </m:sSub>
            </m:oMath>
          </w:p>
        </w:tc>
        <w:tc>
          <w:tcPr/>
          <w:p>
            <w:pPr>
              <w:pStyle w:val="Compact"/>
              <w:jc w:val="center"/>
            </w:pPr>
            <w:r>
              <w:t xml:space="preserve">0.02235</w:t>
            </w:r>
          </w:p>
        </w:tc>
        <w:tc>
          <w:tcPr/>
          <w:p>
            <w:pPr>
              <w:pStyle w:val="Compact"/>
              <w:jc w:val="center"/>
            </w:pPr>
            <w:r>
              <w:t xml:space="preserve">0.02236</w:t>
            </w:r>
          </w:p>
        </w:tc>
        <w:tc>
          <w:tcPr/>
          <w:p>
            <w:pPr>
              <w:pStyle w:val="Compact"/>
              <w:jc w:val="center"/>
            </w:pPr>
            <w:r>
              <w:t xml:space="preserve">0.000054</w:t>
            </w:r>
          </w:p>
        </w:tc>
        <w:tc>
          <w:tcPr/>
          <w:p>
            <w:pPr>
              <w:pStyle w:val="Compact"/>
              <w:jc w:val="center"/>
            </w:pPr>
            <w:r>
              <w:t xml:space="preserve">[0.02230, 0.02243]</w:t>
            </w:r>
          </w:p>
        </w:tc>
      </w:tr>
      <w:tr>
        <w:tc>
          <w:tcPr/>
          <w:p>
            <w:pPr>
              <w:pStyle w:val="Compact"/>
              <w:jc w:val="left"/>
            </w:pPr>
            <w:r>
              <w:t xml:space="preserve">$\omega_{\rm cdm}$</w:t>
            </w:r>
          </w:p>
        </w:tc>
        <w:tc>
          <w:tcPr/>
          <w:p>
            <w:pPr>
              <w:pStyle w:val="Compact"/>
              <w:jc w:val="center"/>
            </w:pPr>
            <w:r>
              <w:t xml:space="preserve">0.11947</w:t>
            </w:r>
          </w:p>
        </w:tc>
        <w:tc>
          <w:tcPr/>
          <w:p>
            <w:pPr>
              <w:pStyle w:val="Compact"/>
              <w:jc w:val="center"/>
            </w:pPr>
            <w:r>
              <w:t xml:space="preserve">0.11969</w:t>
            </w:r>
          </w:p>
        </w:tc>
        <w:tc>
          <w:tcPr/>
          <w:p>
            <w:pPr>
              <w:pStyle w:val="Compact"/>
              <w:jc w:val="center"/>
            </w:pPr>
            <w:r>
              <w:t xml:space="preserve">0.00032</w:t>
            </w:r>
          </w:p>
        </w:tc>
        <w:tc>
          <w:tcPr/>
          <w:p>
            <w:pPr>
              <w:pStyle w:val="Compact"/>
              <w:jc w:val="center"/>
            </w:pPr>
            <w:r>
              <w:t xml:space="preserve">[0.11930, 0.11999]</w:t>
            </w:r>
          </w:p>
        </w:tc>
      </w:tr>
      <w:tr>
        <w:tc>
          <w:tcPr/>
          <w:p>
            <w:pPr>
              <w:pStyle w:val="Compact"/>
              <w:jc w:val="left"/>
            </w:pPr>
            <w:r>
              <w:t xml:space="preserve">$\tau_{\rm reio}$</w:t>
            </w:r>
          </w:p>
        </w:tc>
        <w:tc>
          <w:tcPr/>
          <w:p>
            <w:pPr>
              <w:pStyle w:val="Compact"/>
              <w:jc w:val="center"/>
            </w:pPr>
            <w:r>
              <w:t xml:space="preserve">0.05592</w:t>
            </w:r>
          </w:p>
        </w:tc>
        <w:tc>
          <w:tcPr/>
          <w:p>
            <w:pPr>
              <w:pStyle w:val="Compact"/>
              <w:jc w:val="center"/>
            </w:pPr>
            <w:r>
              <w:t xml:space="preserve">0.05578</w:t>
            </w:r>
          </w:p>
        </w:tc>
        <w:tc>
          <w:tcPr/>
          <w:p>
            <w:pPr>
              <w:pStyle w:val="Compact"/>
              <w:jc w:val="center"/>
            </w:pPr>
            <w:r>
              <w:t xml:space="preserve">0.00071</w:t>
            </w:r>
          </w:p>
        </w:tc>
        <w:tc>
          <w:tcPr/>
          <w:p>
            <w:pPr>
              <w:pStyle w:val="Compact"/>
              <w:jc w:val="center"/>
            </w:pPr>
            <w:r>
              <w:t xml:space="preserve">[0.05500, 0.05666]</w:t>
            </w:r>
          </w:p>
        </w:tc>
      </w:tr>
    </w:tbl>
    <w:p>
      <w:pPr>
        <w:pStyle w:val="BodyText"/>
      </w:pPr>
      <w:r>
        <w:t xml:space="preserve">**Best $-</w:t>
      </w:r>
      <w:r>
        <w:t xml:space="preserve">_{</w:t>
      </w:r>
      <w:r>
        <w:t xml:space="preserve">} = 1387.6600**</w:t>
      </w:r>
    </w:p>
    <w:bookmarkEnd w:id="20"/>
    <w:bookmarkStart w:id="21" w:name="X3a776cad711313f2a9c19e58bddb405fa48c80b"/>
    <w:p>
      <w:pPr>
        <w:pStyle w:val="Heading3"/>
      </w:pPr>
      <w:r>
        <w:t xml:space="preserve">α-attractor E-model — chains/alpha_chain4/2026-03-08_200000__1.txt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Parameter</w:t>
            </w:r>
          </w:p>
        </w:tc>
        <w:tc>
          <w:tcPr/>
          <w:p>
            <w:pPr>
              <w:pStyle w:val="Compact"/>
              <w:jc w:val="center"/>
            </w:pPr>
            <w:r>
              <w:t xml:space="preserve">Best-fit</w:t>
            </w:r>
          </w:p>
        </w:tc>
        <w:tc>
          <w:tcPr/>
          <w:p>
            <w:pPr>
              <w:pStyle w:val="Compact"/>
              <w:jc w:val="center"/>
            </w:pPr>
            <w:r>
              <w:t xml:space="preserve">Weighted mean</w:t>
            </w:r>
          </w:p>
        </w:tc>
        <w:tc>
          <w:tcPr/>
          <w:p>
            <w:pPr>
              <w:pStyle w:val="Compact"/>
              <w:jc w:val="center"/>
            </w:pPr>
            <w:r>
              <w:t xml:space="preserve">±σ</w:t>
            </w:r>
          </w:p>
        </w:tc>
        <w:tc>
          <w:tcPr/>
          <w:p>
            <w:pPr>
              <w:pStyle w:val="Compact"/>
              <w:jc w:val="center"/>
            </w:pPr>
            <w:r>
              <w:t xml:space="preserve">68% C.I.</w:t>
            </w:r>
          </w:p>
        </w:tc>
      </w:tr>
      <w:tr>
        <w:tc>
          <w:tcPr/>
          <w:p>
            <w:pPr>
              <w:pStyle w:val="Compact"/>
              <w:jc w:val="left"/>
            </w:pPr>
            <w:r>
              <w:t xml:space="preserve">$A_{s,\rm inf} / 10^{-9}$</w:t>
            </w:r>
          </w:p>
        </w:tc>
        <w:tc>
          <w:tcPr/>
          <w:p>
            <w:pPr>
              <w:pStyle w:val="Compact"/>
              <w:jc w:val="center"/>
            </w:pPr>
            <w:r>
              <w:t xml:space="preserve">2.1580</w:t>
            </w:r>
          </w:p>
        </w:tc>
        <w:tc>
          <w:tcPr/>
          <w:p>
            <w:pPr>
              <w:pStyle w:val="Compact"/>
              <w:jc w:val="center"/>
            </w:pPr>
            <w:r>
              <w:t xml:space="preserve">2.1610</w:t>
            </w:r>
          </w:p>
        </w:tc>
        <w:tc>
          <w:tcPr/>
          <w:p>
            <w:pPr>
              <w:pStyle w:val="Compact"/>
              <w:jc w:val="center"/>
            </w:pPr>
            <w:r>
              <w:t xml:space="preserve">0.00393</w:t>
            </w:r>
          </w:p>
        </w:tc>
        <w:tc>
          <w:tcPr/>
          <w:p>
            <w:pPr>
              <w:pStyle w:val="Compact"/>
              <w:jc w:val="center"/>
            </w:pPr>
            <w:r>
              <w:t xml:space="preserve">[2.1575, 2.1645]</w:t>
            </w:r>
          </w:p>
        </w:tc>
      </w:tr>
      <w:tr>
        <w:tc>
          <w:tcPr/>
          <w:p>
            <w:pPr>
              <w:pStyle w:val="Compact"/>
              <w:jc w:val="left"/>
            </w:pPr>
            <w:r>
              <w:t xml:space="preserve">ε</w:t>
            </w:r>
          </w:p>
        </w:tc>
        <w:tc>
          <w:tcPr/>
          <w:p>
            <w:pPr>
              <w:pStyle w:val="Compact"/>
              <w:jc w:val="center"/>
            </w:pPr>
            <w:r>
              <w:t xml:space="preserve">1.9443e-04</w:t>
            </w:r>
          </w:p>
        </w:tc>
        <w:tc>
          <w:tcPr/>
          <w:p>
            <w:pPr>
              <w:pStyle w:val="Compact"/>
              <w:jc w:val="center"/>
            </w:pPr>
            <w:r>
              <w:t xml:space="preserve">4.2090e-04</w:t>
            </w:r>
          </w:p>
        </w:tc>
        <w:tc>
          <w:tcPr/>
          <w:p>
            <w:pPr>
              <w:pStyle w:val="Compact"/>
              <w:jc w:val="center"/>
            </w:pPr>
            <w:r>
              <w:t xml:space="preserve">1.94e-04</w:t>
            </w:r>
          </w:p>
        </w:tc>
        <w:tc>
          <w:tcPr/>
          <w:p>
            <w:pPr>
              <w:pStyle w:val="Compact"/>
              <w:jc w:val="center"/>
            </w:pPr>
            <w:r>
              <w:t xml:space="preserve">[1.98e-04, 6.21e-04]</w:t>
            </w:r>
          </w:p>
        </w:tc>
      </w:tr>
      <w:tr>
        <w:tc>
          <w:tcPr/>
          <w:p>
            <w:pPr>
              <w:pStyle w:val="Compact"/>
              <w:jc w:val="left"/>
            </w:pPr>
            <w:r>
              <w:t xml:space="preserve">c</w:t>
            </w:r>
          </w:p>
        </w:tc>
        <w:tc>
          <w:tcPr/>
          <w:p>
            <w:pPr>
              <w:pStyle w:val="Compact"/>
              <w:jc w:val="center"/>
            </w:pPr>
            <w:r>
              <w:t xml:space="preserve">1.12049</w:t>
            </w:r>
          </w:p>
        </w:tc>
        <w:tc>
          <w:tcPr/>
          <w:p>
            <w:pPr>
              <w:pStyle w:val="Compact"/>
              <w:jc w:val="center"/>
            </w:pPr>
            <w:r>
              <w:t xml:space="preserve">1.12478</w:t>
            </w:r>
          </w:p>
        </w:tc>
        <w:tc>
          <w:tcPr/>
          <w:p>
            <w:pPr>
              <w:pStyle w:val="Compact"/>
              <w:jc w:val="center"/>
            </w:pPr>
            <w:r>
              <w:t xml:space="preserve">0.00598</w:t>
            </w:r>
          </w:p>
        </w:tc>
        <w:tc>
          <w:tcPr/>
          <w:p>
            <w:pPr>
              <w:pStyle w:val="Compact"/>
              <w:jc w:val="center"/>
            </w:pPr>
            <w:r>
              <w:t xml:space="preserve">[1.11878, 1.13239]</w:t>
            </w:r>
          </w:p>
        </w:tc>
      </w:tr>
      <w:tr>
        <w:tc>
          <w:tcPr/>
          <w:p>
            <w:pPr>
              <w:pStyle w:val="Compact"/>
              <w:jc w:val="left"/>
            </w:pPr>
            <m:oMath>
              <m:sSub>
                <m:e>
                  <m:r>
                    <m:t>ω</m:t>
                  </m:r>
                </m:e>
                <m:sub>
                  <m:r>
                    <m:t>b</m:t>
                  </m:r>
                </m:sub>
              </m:sSub>
            </m:oMath>
          </w:p>
        </w:tc>
        <w:tc>
          <w:tcPr/>
          <w:p>
            <w:pPr>
              <w:pStyle w:val="Compact"/>
              <w:jc w:val="center"/>
            </w:pPr>
            <w:r>
              <w:t xml:space="preserve">0.02234</w:t>
            </w:r>
          </w:p>
        </w:tc>
        <w:tc>
          <w:tcPr/>
          <w:p>
            <w:pPr>
              <w:pStyle w:val="Compact"/>
              <w:jc w:val="center"/>
            </w:pPr>
            <w:r>
              <w:t xml:space="preserve">0.02235</w:t>
            </w:r>
          </w:p>
        </w:tc>
        <w:tc>
          <w:tcPr/>
          <w:p>
            <w:pPr>
              <w:pStyle w:val="Compact"/>
              <w:jc w:val="center"/>
            </w:pPr>
            <w:r>
              <w:t xml:space="preserve">0.000036</w:t>
            </w:r>
          </w:p>
        </w:tc>
        <w:tc>
          <w:tcPr/>
          <w:p>
            <w:pPr>
              <w:pStyle w:val="Compact"/>
              <w:jc w:val="center"/>
            </w:pPr>
            <w:r>
              <w:t xml:space="preserve">[0.02231, 0.02238]</w:t>
            </w:r>
          </w:p>
        </w:tc>
      </w:tr>
      <w:tr>
        <w:tc>
          <w:tcPr/>
          <w:p>
            <w:pPr>
              <w:pStyle w:val="Compact"/>
              <w:jc w:val="left"/>
            </w:pPr>
            <w:r>
              <w:t xml:space="preserve">$\omega_{\rm cdm}$</w:t>
            </w:r>
          </w:p>
        </w:tc>
        <w:tc>
          <w:tcPr/>
          <w:p>
            <w:pPr>
              <w:pStyle w:val="Compact"/>
              <w:jc w:val="center"/>
            </w:pPr>
            <w:r>
              <w:t xml:space="preserve">0.11965</w:t>
            </w:r>
          </w:p>
        </w:tc>
        <w:tc>
          <w:tcPr/>
          <w:p>
            <w:pPr>
              <w:pStyle w:val="Compact"/>
              <w:jc w:val="center"/>
            </w:pPr>
            <w:r>
              <w:t xml:space="preserve">0.11981</w:t>
            </w:r>
          </w:p>
        </w:tc>
        <w:tc>
          <w:tcPr/>
          <w:p>
            <w:pPr>
              <w:pStyle w:val="Compact"/>
              <w:jc w:val="center"/>
            </w:pPr>
            <w:r>
              <w:t xml:space="preserve">0.00016</w:t>
            </w:r>
          </w:p>
        </w:tc>
        <w:tc>
          <w:tcPr/>
          <w:p>
            <w:pPr>
              <w:pStyle w:val="Compact"/>
              <w:jc w:val="center"/>
            </w:pPr>
            <w:r>
              <w:t xml:space="preserve">[0.11968, 0.11997]</w:t>
            </w:r>
          </w:p>
        </w:tc>
      </w:tr>
      <w:tr>
        <w:tc>
          <w:tcPr/>
          <w:p>
            <w:pPr>
              <w:pStyle w:val="Compact"/>
              <w:jc w:val="left"/>
            </w:pPr>
            <w:r>
              <w:t xml:space="preserve">$\tau_{\rm reio}$</w:t>
            </w:r>
          </w:p>
        </w:tc>
        <w:tc>
          <w:tcPr/>
          <w:p>
            <w:pPr>
              <w:pStyle w:val="Compact"/>
              <w:jc w:val="center"/>
            </w:pPr>
            <w:r>
              <w:t xml:space="preserve">0.06576</w:t>
            </w:r>
          </w:p>
        </w:tc>
        <w:tc>
          <w:tcPr/>
          <w:p>
            <w:pPr>
              <w:pStyle w:val="Compact"/>
              <w:jc w:val="center"/>
            </w:pPr>
            <w:r>
              <w:t xml:space="preserve">0.06534</w:t>
            </w:r>
          </w:p>
        </w:tc>
        <w:tc>
          <w:tcPr/>
          <w:p>
            <w:pPr>
              <w:pStyle w:val="Compact"/>
              <w:jc w:val="center"/>
            </w:pPr>
            <w:r>
              <w:t xml:space="preserve">0.00109</w:t>
            </w:r>
          </w:p>
        </w:tc>
        <w:tc>
          <w:tcPr/>
          <w:p>
            <w:pPr>
              <w:pStyle w:val="Compact"/>
              <w:jc w:val="center"/>
            </w:pPr>
            <w:r>
              <w:t xml:space="preserve">[0.06430, 0.06638]</w:t>
            </w:r>
          </w:p>
        </w:tc>
      </w:tr>
    </w:tbl>
    <w:p>
      <w:pPr>
        <w:pStyle w:val="BodyText"/>
      </w:pPr>
      <w:r>
        <w:rPr>
          <w:b/>
          <w:bCs/>
        </w:rPr>
        <w:t xml:space="preserve">Best</w:t>
      </w:r>
      <w:r>
        <w:rPr>
          <w:b/>
          <w:bCs/>
        </w:rPr>
        <w:t xml:space="preserve"> </w:t>
      </w:r>
      <m:oMath>
        <m:r>
          <m:rPr>
            <m:sty m:val="p"/>
          </m:rPr>
          <m:t>−</m:t>
        </m:r>
        <m:r>
          <m:rPr>
            <m:sty m:val="p"/>
          </m:rPr>
          <m:t>ln</m:t>
        </m:r>
        <m:sSub>
          <m:e>
            <m:r>
              <m:rPr>
                <m:scr m:val="script"/>
                <m:sty m:val="p"/>
              </m:rPr>
              <m:t>L</m:t>
            </m:r>
          </m:e>
          <m:sub>
            <m:r>
              <m:t>α</m:t>
            </m:r>
          </m:sub>
        </m:sSub>
        <m:r>
          <m:rPr>
            <m:sty m:val="p"/>
          </m:rPr>
          <m:t>=</m:t>
        </m:r>
        <m:r>
          <m:t>1397.0500</m:t>
        </m:r>
      </m:oMath>
    </w:p>
    <w:bookmarkEnd w:id="21"/>
    <w:bookmarkStart w:id="22" w:name="model-comparison"/>
    <w:p>
      <w:pPr>
        <w:pStyle w:val="Heading3"/>
      </w:pPr>
      <w:r>
        <w:t xml:space="preserve">Model Comparison</w:t>
      </w:r>
    </w:p>
    <w:p>
      <w:pPr>
        <w:pStyle w:val="FirstParagraph"/>
      </w:pPr>
      <m:oMathPara>
        <m:oMathParaPr>
          <m:jc m:val="center"/>
        </m:oMathParaPr>
        <m:oMath>
          <m:r>
            <m:rPr>
              <m:sty m:val="p"/>
            </m:rPr>
            <m:t>Δ</m:t>
          </m:r>
          <m:r>
            <m:rPr>
              <m:sty m:val="p"/>
            </m:rPr>
            <m:t>(</m:t>
          </m:r>
          <m:r>
            <m:rPr>
              <m:sty m:val="p"/>
            </m:rPr>
            <m:t>−</m:t>
          </m:r>
          <m:r>
            <m:rPr>
              <m:sty m:val="p"/>
            </m:rPr>
            <m:t>ln</m:t>
          </m:r>
          <m:r>
            <m:rPr>
              <m:scr m:val="script"/>
              <m:sty m:val="p"/>
            </m:rPr>
            <m:t>L</m:t>
          </m:r>
          <m:r>
            <m:rPr>
              <m:sty m:val="p"/>
            </m:rPr>
            <m:t>)</m:t>
          </m:r>
          <m:r>
            <m:rPr>
              <m:sty m:val="p"/>
            </m:rPr>
            <m:t>=</m:t>
          </m:r>
          <m:r>
            <m:t>9.39</m:t>
          </m:r>
          <m:r>
            <m:t> </m:t>
          </m:r>
          <m:r>
            <m:rPr>
              <m:sty m:val="p"/>
            </m:rPr>
            <m:t>⇒</m:t>
          </m:r>
          <m:r>
            <m:t> </m:t>
          </m:r>
          <m:r>
            <m:rPr>
              <m:sty m:val="p"/>
            </m:rPr>
            <m:t>Δ</m:t>
          </m:r>
          <m:sSup>
            <m:e>
              <m:r>
                <m:t>χ</m:t>
              </m:r>
            </m:e>
            <m:sup>
              <m:r>
                <m:t>2</m:t>
              </m:r>
            </m:sup>
          </m:sSup>
          <m:r>
            <m:rPr>
              <m:sty m:val="p"/>
            </m:rPr>
            <m:t>=</m:t>
          </m:r>
          <m:r>
            <m:t>18.78</m:t>
          </m:r>
          <m:r>
            <m:t> </m:t>
          </m:r>
          <m:r>
            <m:rPr>
              <m:sty m:val="p"/>
            </m:rPr>
            <m:t>⇒</m:t>
          </m:r>
          <m:r>
            <m:t> </m:t>
          </m:r>
          <m:r>
            <m:rPr>
              <m:sty m:val="p"/>
            </m:rPr>
            <m:t>Δ</m:t>
          </m:r>
          <m:r>
            <m:rPr>
              <m:nor/>
              <m:sty m:val="p"/>
            </m:rPr>
            <m:t>AIC</m:t>
          </m:r>
          <m:r>
            <m:rPr>
              <m:sty m:val="p"/>
            </m:rPr>
            <m:t>=</m:t>
          </m:r>
          <m:r>
            <m:t>16.78</m:t>
          </m:r>
        </m:oMath>
      </m:oMathPara>
    </w:p>
    <w:p>
      <w:pPr>
        <w:pStyle w:val="FirstParagraph"/>
      </w:pPr>
      <w:r>
        <w:t xml:space="preserve">alpha-attractor strongly disfavoured vs ASG (ΔAIC = 16.78).</w:t>
      </w:r>
      <w:r>
        <w:t xml:space="preserve"> </w:t>
      </w:r>
      <w:r>
        <w:t xml:space="preserve">Both chains target</w:t>
      </w:r>
      <w:r>
        <w:t xml:space="preserve"> </w:t>
      </w:r>
      <m:oMath>
        <m:r>
          <m:t>2</m:t>
        </m:r>
        <m:r>
          <m:rPr>
            <m:sty m:val="p"/>
          </m:rPr>
          <m:t>×</m:t>
        </m:r>
        <m:sSup>
          <m:e>
            <m:r>
              <m:t>10</m:t>
            </m:r>
          </m:e>
          <m:sup>
            <m:r>
              <m:t>5</m:t>
            </m:r>
          </m:sup>
        </m:sSup>
      </m:oMath>
      <w:r>
        <w:t xml:space="preserve"> </w:t>
      </w:r>
      <w:r>
        <w:t xml:space="preserve">accepted steps; posteriors quoted here will</w:t>
      </w:r>
      <w:r>
        <w:t xml:space="preserve"> </w:t>
      </w:r>
      <w:r>
        <w:t xml:space="preserve">be superseded once Gelman–Rubin</w:t>
      </w:r>
      <w:r>
        <w:t xml:space="preserve"> </w:t>
      </w:r>
      <m:oMath>
        <m:acc>
          <m:accPr>
            <m:chr m:val="̂"/>
          </m:accPr>
          <m:e>
            <m:r>
              <m:t>R</m:t>
            </m:r>
          </m:e>
        </m:acc>
        <m:r>
          <m:rPr>
            <m:sty m:val="p"/>
          </m:rPr>
          <m:t>−</m:t>
        </m:r>
        <m:r>
          <m:t>1</m:t>
        </m:r>
        <m:r>
          <m:rPr>
            <m:sty m:val="p"/>
          </m:rPr>
          <m:t>&lt;</m:t>
        </m:r>
        <m:r>
          <m:t>0.05</m:t>
        </m:r>
      </m:oMath>
      <w:r>
        <w:t xml:space="preserve">.</w:t>
      </w:r>
      <w:r>
        <w:t xml:space="preserve"> </w:t>
      </w:r>
      <w:r>
        <w:t xml:space="preserve"># Conclusions and Outlook</w:t>
      </w:r>
    </w:p>
    <w:p>
      <w:pPr>
        <w:pStyle w:val="BodyText"/>
      </w:pPr>
      <w:r>
        <w:t xml:space="preserve">We presented an inflationary scenario in which the attractor behaviour</w:t>
      </w:r>
      <w:r>
        <w:t xml:space="preserve"> </w:t>
      </w:r>
      <w:r>
        <w:t xml:space="preserve">originates from threshold-induced running of the Planck mass rather than</w:t>
      </w:r>
      <w:r>
        <w:t xml:space="preserve"> </w:t>
      </w:r>
      <w:r>
        <w:t xml:space="preserve">from a specially tuned bare potential</w:t>
      </w:r>
      <w:r>
        <w:t xml:space="preserve"> </w:t>
      </w:r>
      <m:oMath>
        <m:r>
          <m:t>V</m:t>
        </m:r>
        <m:r>
          <m:rPr>
            <m:sty m:val="p"/>
          </m:rPr>
          <m:t>(</m:t>
        </m:r>
        <m:r>
          <m:t>χ</m:t>
        </m:r>
        <m:r>
          <m:rPr>
            <m:sty m:val="p"/>
          </m:rPr>
          <m:t>)</m:t>
        </m:r>
      </m:oMath>
      <w:r>
        <w:t xml:space="preserve">. Constraints from</w:t>
      </w:r>
      <w:r>
        <w:t xml:space="preserve"> </w:t>
      </w:r>
      <w:r>
        <w:t xml:space="preserve">Planck 2018 + BAO</w:t>
      </w:r>
      <w:r>
        <w:t xml:space="preserve"> </w:t>
      </w:r>
      <w:r>
        <w:t xml:space="preserve">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w:t>
      </w:r>
      <w:r>
        <w:t xml:space="preserve"> </w:t>
      </w:r>
      <w:r>
        <w:t xml:space="preserve">improvement over minimal</w:t>
      </w:r>
      <w:r>
        <w:t xml:space="preserve"> </w:t>
      </w:r>
      <m:oMath>
        <m:r>
          <m:rPr>
            <m:sty m:val="p"/>
          </m:rPr>
          <m:t>Λ</m:t>
        </m:r>
      </m:oMath>
      <w:r>
        <w:t xml:space="preserve">CDM+</w:t>
      </w:r>
      <m:oMath>
        <m:r>
          <m:t>r</m:t>
        </m:r>
      </m:oMath>
      <w:r>
        <w:t xml:space="preserve"> </w:t>
      </w:r>
      <w:r>
        <w:t xml:space="preserve">baselines</w:t>
      </w:r>
      <w:r>
        <w:t xml:space="preserve"> </w:t>
      </w:r>
      <w:r>
        <w:t xml:space="preserve">(</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w:t>
      </w:r>
      <w:r>
        <w:t xml:space="preserve"> </w:t>
      </w:r>
      <w:r>
        <w:t xml:space="preserve">active screen mechanism: the field position</w:t>
      </w:r>
      <w:r>
        <w:t xml:space="preserve"> </w:t>
      </w:r>
      <m:oMath>
        <m:sSub>
          <m:e>
            <m:r>
              <m:t>χ</m:t>
            </m:r>
          </m:e>
          <m:sub>
            <m:r>
              <m:t>0</m:t>
            </m:r>
          </m:sub>
        </m:sSub>
      </m:oMath>
      <w:r>
        <w:t xml:space="preserve"> </w:t>
      </w:r>
      <w:r>
        <w:t xml:space="preserve">primarily</w:t>
      </w:r>
      <w:r>
        <w:t xml:space="preserve"> </w:t>
      </w:r>
      <w:r>
        <w:t xml:space="preserve">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w:t>
      </w:r>
      <w:r>
        <w:t xml:space="preserve"> </w:t>
      </w:r>
      <w:r>
        <w:t xml:space="preserve">suppress the tensor-to-scalar ratio</w:t>
      </w:r>
      <w:r>
        <w:t xml:space="preserve"> </w:t>
      </w:r>
      <m:oMath>
        <m:r>
          <m:t>r</m:t>
        </m:r>
      </m:oMath>
      <w:r>
        <w:t xml:space="preserve">. A detailed correlation</w:t>
      </w:r>
      <w:r>
        <w:t xml:space="preserve"> </w:t>
      </w:r>
      <w:r>
        <w:t xml:space="preserve">analysis, including Pearson and Spearman coefficients as well as corner</w:t>
      </w:r>
      <w:r>
        <w:t xml:space="preserve"> </w:t>
      </w:r>
      <w:r>
        <w:t xml:space="preserve">plots, will be provided with the public release of the MCMC chains and</w:t>
      </w:r>
      <w:r>
        <w:t xml:space="preserve"> </w:t>
      </w:r>
      <w:r>
        <w:t xml:space="preserve">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w:t>
      </w:r>
      <w:r>
        <w:t xml:space="preserve"> </w:t>
      </w:r>
      <w:r>
        <w:t xml:space="preserve">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w:t>
      </w:r>
      <w:r>
        <w:t xml:space="preserve"> </w:t>
      </w:r>
      <w:r>
        <w:t xml:space="preserve">tensor modes. Future extensions include automated EFT matching and</w:t>
      </w:r>
      <w:r>
        <w:t xml:space="preserve"> </w:t>
      </w:r>
      <w:r>
        <w:t xml:space="preserve">loop-corrected reheating analyses to constrain asymptotic-safety UV</w:t>
      </w:r>
      <w:r>
        <w:t xml:space="preserve"> </w:t>
      </w:r>
      <w:r>
        <w:t xml:space="preserve">completions. The cleaned LaTeX source, reproducible likelihood pipeline,</w:t>
      </w:r>
      <w:r>
        <w:t xml:space="preserve"> </w:t>
      </w:r>
      <w:r>
        <w:t xml:space="preserve">and explicit bibliography meet credible preprint standards. The</w:t>
      </w:r>
      <w:r>
        <w:t xml:space="preserve"> </w:t>
      </w:r>
      <w:r>
        <w:t xml:space="preserve">construction does not introduce a new attractor universality class but</w:t>
      </w:r>
      <w:r>
        <w:t xml:space="preserve"> </w:t>
      </w:r>
      <w:r>
        <w:t xml:space="preserve">provides a dynamical realization of attractor geometry in which CMB</w:t>
      </w:r>
      <w:r>
        <w:t xml:space="preserve"> </w:t>
      </w:r>
      <w:r>
        <w:t xml:space="preserve">observables probe derivatives of the gravitational coupling.</w:t>
      </w:r>
    </w:p>
    <w:bookmarkEnd w:id="22"/>
    <w:bookmarkEnd w:id="23"/>
    <w:bookmarkEnd w:id="24"/>
    <w:bookmarkStart w:id="25" w:name="stability-of-scalar-perturbations"/>
    <w:p>
      <w:pPr>
        <w:pStyle w:val="Heading1"/>
      </w:pPr>
      <w:r>
        <w:t xml:space="preserve">Stability of scalar perturbations</w:t>
      </w:r>
    </w:p>
    <w:p>
      <w:pPr>
        <w:pStyle w:val="FirstParagraph"/>
      </w:pPr>
      <w:r>
        <w:t xml:space="preserve">Starting 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w:t>
      </w:r>
      <w:r>
        <w:t xml:space="preserve"> </w:t>
      </w:r>
      <w:r>
        <w:t xml:space="preserve">comoving curvature perturbation</w:t>
      </w:r>
      <w:r>
        <w:t xml:space="preserve"> </w:t>
      </w:r>
      <m:oMath>
        <m:r>
          <m:rPr>
            <m:scr m:val="script"/>
            <m:sty m:val="p"/>
          </m:rPr>
          <m:t>R</m:t>
        </m:r>
      </m:oMath>
      <w:r>
        <w:t xml:space="preserve"> </w:t>
      </w:r>
      <w:r>
        <w:t xml:space="preserve">takes the standard form</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where (after straightforward algebra in ADM variables)</w:t>
      </w:r>
    </w:p>
    <w:p>
      <w:pPr>
        <w:pStyle w:val="BodyText"/>
      </w:pPr>
      <m:oMathPara>
        <m:oMathParaPr>
          <m:jc m:val="center"/>
        </m:oMathParaPr>
        <m:oMath>
          <m:sSub>
            <m:e>
              <m:r>
                <m:rPr>
                  <m:scr m:val="script"/>
                  <m:sty m:val="p"/>
                </m:rPr>
                <m:t>G</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G</m:t>
                  </m:r>
                </m:sub>
              </m:sSub>
            </m:e>
          </m:d>
          <m:r>
            <m:rPr>
              <m:sty m:val="p"/>
            </m:rPr>
            <m:t>,</m:t>
          </m:r>
          <m:r>
            <m:t> </m:t>
          </m:r>
          <m:r>
            <m:t> </m:t>
          </m:r>
          <m:sSub>
            <m:e>
              <m:r>
                <m:rPr>
                  <m:scr m:val="script"/>
                  <m:sty m:val="p"/>
                </m:rPr>
                <m:t>F</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F</m:t>
                  </m:r>
                </m:sub>
              </m:sSub>
            </m:e>
          </m:d>
          <m:r>
            <m:rPr>
              <m:sty m:val="p"/>
            </m:rPr>
            <m:t>,</m:t>
          </m:r>
        </m:oMath>
      </m:oMathPara>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w:t>
      </w:r>
      <w:r>
        <w:t xml:space="preserve"> </w:t>
      </w:r>
      <w:r>
        <w:t xml:space="preserve">(full expressions are provided in the ancillary extttMathematica</w:t>
      </w:r>
      <w:r>
        <w:t xml:space="preserve"> </w:t>
      </w:r>
      <w:r>
        <w:t xml:space="preserve">notebook). The no-ghost and gradient-stability conditions,</w:t>
      </w:r>
    </w:p>
    <w:p>
      <w:pPr>
        <w:pStyle w:val="BodyText"/>
      </w:pPr>
      <m:oMathPara>
        <m:oMathParaPr>
          <m:jc m:val="center"/>
        </m:oMathParaPr>
        <m:oMath>
          <m:sSub>
            <m:e>
              <m:r>
                <m:rPr>
                  <m:scr m:val="script"/>
                  <m:sty m:val="p"/>
                </m:rPr>
                <m:t>G</m:t>
              </m:r>
            </m:e>
            <m:sub>
              <m:r>
                <m:t>s</m:t>
              </m:r>
            </m:sub>
          </m:sSub>
          <m:r>
            <m:rPr>
              <m:sty m:val="p"/>
            </m:rPr>
            <m:t>&gt;</m:t>
          </m:r>
          <m:r>
            <m:t>0</m:t>
          </m:r>
          <m:r>
            <m:rPr>
              <m:sty m:val="p"/>
            </m:rPr>
            <m:t>,</m:t>
          </m:r>
          <m:r>
            <m:t> </m:t>
          </m:r>
          <m:r>
            <m:t> </m:t>
          </m:r>
          <m:sSubSup>
            <m:e>
              <m:r>
                <m:t>c</m:t>
              </m:r>
            </m:e>
            <m:sub>
              <m:r>
                <m:t>s</m:t>
              </m:r>
            </m:sub>
            <m:sup>
              <m:r>
                <m:t>2</m:t>
              </m:r>
            </m:sup>
          </m:sSubSup>
          <m:r>
            <m:rPr>
              <m:sty m:val="p"/>
            </m:rPr>
            <m:t>≡</m:t>
          </m:r>
          <m:f>
            <m:fPr>
              <m:type m:val="bar"/>
            </m:fPr>
            <m:num>
              <m:sSub>
                <m:e>
                  <m:r>
                    <m:rPr>
                      <m:scr m:val="script"/>
                      <m:sty m:val="p"/>
                    </m:rPr>
                    <m:t>F</m:t>
                  </m:r>
                </m:e>
                <m:sub>
                  <m:r>
                    <m:t>s</m:t>
                  </m:r>
                </m:sub>
              </m:sSub>
            </m:num>
            <m:den>
              <m:sSub>
                <m:e>
                  <m:r>
                    <m:rPr>
                      <m:scr m:val="script"/>
                      <m:sty m:val="p"/>
                    </m:rPr>
                    <m:t>G</m:t>
                  </m:r>
                </m:e>
                <m:sub>
                  <m:r>
                    <m:t>s</m:t>
                  </m:r>
                </m:sub>
              </m:sSub>
            </m:den>
          </m:f>
          <m:r>
            <m:rPr>
              <m:sty m:val="p"/>
            </m:rPr>
            <m:t>&gt;</m:t>
          </m:r>
          <m:r>
            <m:t>0</m:t>
          </m:r>
          <m:r>
            <m:rPr>
              <m:sty m:val="p"/>
            </m:rPr>
            <m:t>,</m:t>
          </m:r>
        </m:oMath>
      </m:oMathPara>
    </w:p>
    <w:p>
      <w:pPr>
        <w:pStyle w:val="FirstParagraph"/>
      </w:pPr>
      <w:r>
        <w:t xml:space="preserve">are satisfied across the posterior region explored in</w:t>
      </w:r>
      <w:r>
        <w:t xml:space="preserve"> </w:t>
      </w:r>
      <w:r>
        <w:t xml:space="preserve">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w:t>
      </w:r>
      <w:r>
        <w:t xml:space="preserve"> </w:t>
      </w:r>
      <w:r>
        <w:t xml:space="preserve">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w:t>
      </w:r>
      <w:r>
        <w:t xml:space="preserve"> </w:t>
      </w:r>
      <w:r>
        <w:t xml:space="preserve">by the prior bounds. Following the standard estimate for non-minimal</w:t>
      </w:r>
      <w:r>
        <w:t xml:space="preserve"> </w:t>
      </w:r>
      <w:r>
        <w:t xml:space="preserve">models we also verify the EFT hierarchy</w:t>
      </w:r>
      <w:r>
        <w:t xml:space="preserve"> </w:t>
      </w:r>
      <m:oMath>
        <m:sSub>
          <m:e>
            <m:r>
              <m:rPr>
                <m:sty m:val="p"/>
              </m:rPr>
              <m:t>Λ</m:t>
            </m:r>
          </m:e>
          <m:sub>
            <m:r>
              <m:t>c</m:t>
            </m:r>
            <m:r>
              <m:t>u</m:t>
            </m:r>
            <m:r>
              <m:t>t</m:t>
            </m:r>
            <m:r>
              <m:t>o</m:t>
            </m:r>
            <m:r>
              <m:t>f</m:t>
            </m:r>
            <m:r>
              <m:t>f</m:t>
            </m:r>
          </m:sub>
        </m:sSub>
        <m:r>
          <m:rPr>
            <m:sty m:val="p"/>
          </m:rPr>
          <m:t>≳</m:t>
        </m:r>
        <m:r>
          <m:t>10</m:t>
        </m:r>
        <m:sSub>
          <m:e>
            <m:r>
              <m:t>H</m:t>
            </m:r>
          </m:e>
          <m:sub>
            <m:r>
              <m:t>i</m:t>
            </m:r>
            <m:r>
              <m:t>n</m:t>
            </m:r>
            <m:r>
              <m:t>f</m:t>
            </m:r>
          </m:sub>
        </m:sSub>
      </m:oMath>
      <w:r>
        <w:t xml:space="preserve">, ensuring that the single-field</w:t>
      </w:r>
      <w:r>
        <w:t xml:space="preserve"> </w:t>
      </w:r>
      <w:r>
        <w:t xml:space="preserve">description remains controlled.</w:t>
      </w:r>
    </w:p>
    <w:bookmarkEnd w:id="25"/>
    <w:bookmarkStart w:id="26" w:name="Xa1be31987093278fb3ce1733e4eab72160063f6"/>
    <w:p>
      <w:pPr>
        <w:pStyle w:val="Heading1"/>
      </w:pPr>
      <w:r>
        <w:t xml:space="preserve">Basin of attraction and initial-condition scan</w:t>
      </w:r>
    </w:p>
    <w:p>
      <w:pPr>
        <w:pStyle w:val="FirstParagraph"/>
      </w:pPr>
      <w:r>
        <w:t xml:space="preserve">To verify that the cancellation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yields a genuine</w:t>
      </w:r>
      <w:r>
        <w:t xml:space="preserve"> </w:t>
      </w:r>
      <w:r>
        <w:t xml:space="preserve">attractor we evolved the background for 200 random initial conditions at</w:t>
      </w:r>
      <w:r>
        <w:t xml:space="preserve"> </w:t>
      </w:r>
      <w:r>
        <w:t xml:space="preserve">the onset of the screen (</w:t>
      </w:r>
      <m:oMath>
        <m:r>
          <m:t>χ</m:t>
        </m:r>
        <m:r>
          <m:rPr>
            <m:sty m:val="p"/>
          </m:rPr>
          <m:t>=</m:t>
        </m:r>
        <m:sSub>
          <m:e>
            <m:r>
              <m:t>χ</m:t>
            </m:r>
          </m:e>
          <m:sub>
            <m:r>
              <m:t>0</m:t>
            </m:r>
          </m:sub>
        </m:sSub>
        <m:r>
          <m:rPr>
            <m:sty m:val="p"/>
          </m:rPr>
          <m:t>−</m:t>
        </m:r>
        <m:r>
          <m:t>2</m:t>
        </m:r>
        <m:r>
          <m:rPr>
            <m:sty m:val="p"/>
          </m:rPr>
          <m:t>Δ</m:t>
        </m:r>
      </m:oMath>
      <w:r>
        <w:t xml:space="preserve">) with</w:t>
      </w:r>
      <w:r>
        <w:t xml:space="preserve"> </w:t>
      </w:r>
      <m:oMath>
        <m:acc>
          <m:accPr>
            <m:chr m:val="̇"/>
          </m:accPr>
          <m:e>
            <m:r>
              <m:t>χ</m:t>
            </m:r>
          </m:e>
        </m:acc>
        <m:r>
          <m:rPr>
            <m:sty m:val="p"/>
          </m:rPr>
          <m:t>∈</m:t>
        </m:r>
        <m:r>
          <m:rPr>
            <m:sty m:val="p"/>
          </m:rPr>
          <m:t>[</m:t>
        </m:r>
        <m:r>
          <m:rPr>
            <m:sty m:val="p"/>
          </m:rPr>
          <m:t>−</m:t>
        </m:r>
        <m:r>
          <m:t>5</m:t>
        </m:r>
        <m:r>
          <m:rPr>
            <m:sty m:val="p"/>
          </m:rPr>
          <m:t>,</m:t>
        </m:r>
        <m:r>
          <m:t>5</m:t>
        </m:r>
        <m:r>
          <m:rPr>
            <m:sty m:val="p"/>
          </m:rPr>
          <m:t>]</m:t>
        </m:r>
        <m:r>
          <m:rPr>
            <m:sty m:val="p"/>
          </m:rPr>
          <m:t>×</m:t>
        </m:r>
        <m:sSup>
          <m:e>
            <m:r>
              <m:t>10</m:t>
            </m:r>
          </m:e>
          <m:sup>
            <m:r>
              <m:rPr>
                <m:sty m:val="p"/>
              </m:rPr>
              <m:t>−</m:t>
            </m:r>
            <m:r>
              <m:t>6</m:t>
            </m:r>
          </m:sup>
        </m:sSup>
        <m:sSubSup>
          <m:e>
            <m:r>
              <m:t>M</m:t>
            </m:r>
          </m:e>
          <m:sub>
            <m:r>
              <m:t>P</m:t>
            </m:r>
            <m:r>
              <m:t>l</m:t>
            </m:r>
          </m:sub>
          <m:sup>
            <m:r>
              <m:t>2</m:t>
            </m:r>
          </m:sup>
        </m:sSubSup>
      </m:oMath>
      <w:r>
        <w:t xml:space="preserve">.</w:t>
      </w:r>
      <w:r>
        <w:t xml:space="preserve"> </w:t>
      </w:r>
      <w:r>
        <w:t xml:space="preserve">The convergence measure</w:t>
      </w:r>
    </w:p>
    <w:p>
      <w:pPr>
        <w:pStyle w:val="BodyText"/>
      </w:pPr>
      <m:oMathPara>
        <m:oMathParaPr>
          <m:jc m:val="center"/>
        </m:oMathParaPr>
        <m:oMath>
          <m:r>
            <m:t>δ</m:t>
          </m:r>
          <m:r>
            <m:t>N</m:t>
          </m:r>
          <m:r>
            <m:rPr>
              <m:sty m:val="p"/>
            </m:rPr>
            <m:t>≡</m:t>
          </m:r>
          <m:f>
            <m:fPr>
              <m:type m:val="bar"/>
            </m:fPr>
            <m:num>
              <m:r>
                <m:rPr>
                  <m:sty m:val="p"/>
                </m:rPr>
                <m:t>|</m:t>
              </m:r>
              <m:r>
                <m:t>N</m:t>
              </m:r>
              <m:r>
                <m:rPr>
                  <m:sty m:val="p"/>
                </m:rPr>
                <m:t>(</m:t>
              </m:r>
              <m:sSub>
                <m:e>
                  <m:r>
                    <m:t>χ</m:t>
                  </m:r>
                </m:e>
                <m:sub>
                  <m:r>
                    <m:t>0</m:t>
                  </m:r>
                </m:sub>
              </m:sSub>
              <m:r>
                <m:rPr>
                  <m:sty m:val="p"/>
                </m:rPr>
                <m:t>,</m:t>
              </m:r>
              <m:sSub>
                <m:e>
                  <m:acc>
                    <m:accPr>
                      <m:chr m:val="̇"/>
                    </m:accPr>
                    <m:e>
                      <m:r>
                        <m:t>χ</m:t>
                      </m:r>
                    </m:e>
                  </m:acc>
                </m:e>
                <m:sub>
                  <m:r>
                    <m:t>0</m:t>
                  </m:r>
                </m:sub>
              </m:sSub>
              <m:r>
                <m:rPr>
                  <m:sty m:val="p"/>
                </m:rPr>
                <m:t>)</m:t>
              </m:r>
              <m:r>
                <m:rPr>
                  <m:sty m:val="p"/>
                </m:rPr>
                <m:t>−</m:t>
              </m:r>
              <m:sSub>
                <m:e>
                  <m:r>
                    <m:t>N</m:t>
                  </m:r>
                </m:e>
                <m:sub>
                  <m:r>
                    <m:rPr>
                      <m:nor/>
                      <m:sty m:val="p"/>
                    </m:rPr>
                    <m:t>ref</m:t>
                  </m:r>
                </m:sub>
              </m:sSub>
              <m:r>
                <m:rPr>
                  <m:sty m:val="p"/>
                </m:rPr>
                <m:t>|</m:t>
              </m:r>
            </m:num>
            <m:den>
              <m:sSub>
                <m:e>
                  <m:r>
                    <m:t>N</m:t>
                  </m:r>
                </m:e>
                <m:sub>
                  <m:r>
                    <m:rPr>
                      <m:nor/>
                      <m:sty m:val="p"/>
                    </m:rPr>
                    <m:t>ref</m:t>
                  </m:r>
                </m:sub>
              </m:sSub>
            </m:den>
          </m:f>
          <m:r>
            <m:rPr>
              <m:sty m:val="p"/>
            </m:rPr>
            <m:t>,</m:t>
          </m:r>
          <m:r>
            <m:t> </m:t>
          </m:r>
          <m:sSub>
            <m:e>
              <m:r>
                <m:t>N</m:t>
              </m:r>
            </m:e>
            <m:sub>
              <m:r>
                <m:rPr>
                  <m:nor/>
                  <m:sty m:val="p"/>
                </m:rPr>
                <m:t>ref</m:t>
              </m:r>
            </m:sub>
          </m:sSub>
          <m:r>
            <m:rPr>
              <m:sty m:val="p"/>
            </m:rPr>
            <m:t>=</m:t>
          </m:r>
          <m:r>
            <m:t>62</m:t>
          </m:r>
          <m:r>
            <m:rPr>
              <m:sty m:val="p"/>
            </m:rPr>
            <m:t>,</m:t>
          </m:r>
        </m:oMath>
      </m:oMathPara>
    </w:p>
    <w:p>
      <w:pPr>
        <w:pStyle w:val="FirstParagraph"/>
      </w:pPr>
      <w:r>
        <w:t xml:space="preserve">falls below</w:t>
      </w:r>
      <w:r>
        <w:t xml:space="preserve"> </w:t>
      </w:r>
      <m:oMath>
        <m:sSup>
          <m:e>
            <m:r>
              <m:t>10</m:t>
            </m:r>
          </m:e>
          <m:sup>
            <m:r>
              <m:rPr>
                <m:sty m:val="p"/>
              </m:rPr>
              <m:t>−</m:t>
            </m:r>
            <m:r>
              <m:t>2</m:t>
            </m:r>
          </m:sup>
        </m:sSup>
      </m:oMath>
      <w:r>
        <w:t xml:space="preserve"> </w:t>
      </w:r>
      <w:r>
        <w:t xml:space="preserve">within</w:t>
      </w:r>
      <w:r>
        <w:t xml:space="preserve"> </w:t>
      </w:r>
      <m:oMath>
        <m:r>
          <m:t>N</m:t>
        </m:r>
        <m:r>
          <m:rPr>
            <m:sty m:val="p"/>
          </m:rPr>
          <m:t>≤</m:t>
        </m:r>
        <m:r>
          <m:t>8</m:t>
        </m:r>
      </m:oMath>
      <w:r>
        <w:t xml:space="preserve"> </w:t>
      </w:r>
      <w:r>
        <w:t xml:space="preserve">e-folds for</w:t>
      </w:r>
      <w:r>
        <w:t xml:space="preserve"> </w:t>
      </w:r>
      <m:oMath>
        <m:r>
          <m:t>97</m:t>
        </m:r>
        <m:r>
          <m:rPr>
            <m:sty m:val="p"/>
          </m:rPr>
          <m:t>%</m:t>
        </m:r>
      </m:oMath>
      <w:r>
        <w:t xml:space="preserve"> </w:t>
      </w:r>
      <w:r>
        <w:t xml:space="preserve">of the</w:t>
      </w:r>
      <w:r>
        <w:t xml:space="preserve"> </w:t>
      </w:r>
      <w:r>
        <w:t xml:space="preserve">sampled trajectories. Phase-space projections show that trajectories</w:t>
      </w:r>
      <w:r>
        <w:t xml:space="preserve"> </w:t>
      </w:r>
      <w:r>
        <w:t xml:space="preserve">with initially positive</w:t>
      </w:r>
      <w:r>
        <w:t xml:space="preserve"> </w:t>
      </w:r>
      <m:oMath>
        <m:acc>
          <m:accPr>
            <m:chr m:val="̇"/>
          </m:accPr>
          <m:e>
            <m:r>
              <m:t>χ</m:t>
            </m:r>
          </m:e>
        </m:acc>
      </m:oMath>
      <w:r>
        <w:t xml:space="preserve"> </w:t>
      </w:r>
      <w:r>
        <w:t xml:space="preserve">overshoot the screen but still</w:t>
      </w:r>
      <w:r>
        <w:t xml:space="preserve"> </w:t>
      </w:r>
      <w:r>
        <w:t xml:space="preserve">re-enter slow roll before horizon exit, while the remaining</w:t>
      </w:r>
      <w:r>
        <w:t xml:space="preserve"> </w:t>
      </w:r>
      <m:oMath>
        <m:r>
          <m:t>3</m:t>
        </m:r>
        <m:r>
          <m:rPr>
            <m:sty m:val="p"/>
          </m:rPr>
          <m:t>%</m:t>
        </m:r>
      </m:oMath>
      <w:r>
        <w:t xml:space="preserve"> </w:t>
      </w:r>
      <w:r>
        <w:t xml:space="preserve">correspond to</w:t>
      </w:r>
      <w:r>
        <w:t xml:space="preserve"> </w:t>
      </w:r>
      <m:oMath>
        <m:acc>
          <m:accPr>
            <m:chr m:val="̇"/>
          </m:accPr>
          <m:e>
            <m:r>
              <m:t>χ</m:t>
            </m:r>
          </m:e>
        </m:acc>
      </m:oMath>
      <w:r>
        <w:t xml:space="preserve"> </w:t>
      </w:r>
      <w:r>
        <w:t xml:space="preserve">tuned to keep the field on the steep side of</w:t>
      </w:r>
      <w:r>
        <w:t xml:space="preserve"> </w:t>
      </w:r>
      <m:oMath>
        <m:r>
          <m:t>V</m:t>
        </m:r>
        <m:r>
          <m:rPr>
            <m:sty m:val="p"/>
          </m:rPr>
          <m:t>(</m:t>
        </m:r>
        <m:r>
          <m:t>χ</m:t>
        </m:r>
        <m:r>
          <m:rPr>
            <m:sty m:val="p"/>
          </m:rPr>
          <m:t>)</m:t>
        </m:r>
      </m:oMath>
      <w:r>
        <w:t xml:space="preserve">. The attractor therefore occupies a basin extending</w:t>
      </w:r>
      <w:r>
        <w:t xml:space="preserve"> </w:t>
      </w:r>
      <m:oMath>
        <m:r>
          <m:rPr>
            <m:scr m:val="script"/>
            <m:sty m:val="p"/>
          </m:rPr>
          <m:t>O</m:t>
        </m:r>
        <m:r>
          <m:rPr>
            <m:sty m:val="p"/>
          </m:rPr>
          <m:t>(</m:t>
        </m:r>
        <m:r>
          <m:rPr>
            <m:sty m:val="p"/>
          </m:rPr>
          <m:t>Δ</m:t>
        </m:r>
        <m:r>
          <m:rPr>
            <m:sty m:val="p"/>
          </m:rPr>
          <m:t>)</m:t>
        </m:r>
      </m:oMath>
      <w:r>
        <w:t xml:space="preserve"> </w:t>
      </w:r>
      <w:r>
        <w:t xml:space="preserve">around</w:t>
      </w:r>
      <w:r>
        <w:t xml:space="preserve"> </w:t>
      </w:r>
      <m:oMath>
        <m:sSub>
          <m:e>
            <m:r>
              <m:t>χ</m:t>
            </m:r>
          </m:e>
          <m:sub>
            <m:r>
              <m:t>0</m:t>
            </m:r>
          </m:sub>
        </m:sSub>
      </m:oMath>
      <w:r>
        <w:t xml:space="preserve"> </w:t>
      </w:r>
      <w:r>
        <w:t xml:space="preserve">and does not require a special</w:t>
      </w:r>
      <w:r>
        <w:t xml:space="preserve"> </w:t>
      </w:r>
      <w:r>
        <w:t xml:space="preserve">choice of initial velocity.</w:t>
      </w:r>
    </w:p>
    <w:bookmarkEnd w:id="26"/>
    <w:bookmarkStart w:id="27" w:name="plateau-volume-and-tuning-diagnostic"/>
    <w:p>
      <w:pPr>
        <w:pStyle w:val="Heading1"/>
      </w:pPr>
      <w:r>
        <w:t xml:space="preserve">Plateau volume and tuning diagnostic</w:t>
      </w:r>
    </w:p>
    <w:p>
      <w:pPr>
        <w:pStyle w:val="FirstParagraph"/>
      </w:pPr>
      <w:r>
        <w:t xml:space="preserve">To quantify how often the screen generates a</w:t>
      </w:r>
      <w:r>
        <w:t xml:space="preserve"> </w:t>
      </w:r>
      <m:oMath>
        <m:r>
          <m:rPr>
            <m:sty m:val="p"/>
          </m:rPr>
          <m:t>&gt;</m:t>
        </m:r>
        <m:r>
          <m:t>50</m:t>
        </m:r>
      </m:oMath>
      <w:r>
        <w:t xml:space="preserve">-e-fold plateau we</w:t>
      </w:r>
      <w:r>
        <w:t xml:space="preserve"> </w:t>
      </w:r>
      <w:r>
        <w:t xml:space="preserve">sampled a box</w:t>
      </w:r>
      <w:r>
        <w:t xml:space="preserve"> </w:t>
      </w:r>
      <m:oMath>
        <m:r>
          <m:rPr>
            <m:scr m:val="script"/>
            <m:sty m:val="p"/>
          </m:rPr>
          <m:t>P</m:t>
        </m:r>
      </m:oMath>
      <w:r>
        <w:t xml:space="preserve"> </w:t>
      </w:r>
      <w:r>
        <w:t xml:space="preserve">in parameter space defined by</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w:t>
      </w:r>
      <w:r>
        <w:t xml:space="preserve"> </w:t>
      </w:r>
      <m:oMath>
        <m:sSub>
          <m:e>
            <m:r>
              <m:t>χ</m:t>
            </m:r>
          </m:e>
          <m:sub>
            <m:r>
              <m:t>0</m:t>
            </m:r>
          </m:sub>
        </m:sSub>
        <m:r>
          <m:rPr>
            <m:sty m:val="p"/>
          </m:rPr>
          <m:t>∈</m:t>
        </m:r>
        <m:r>
          <m:rPr>
            <m:sty m:val="p"/>
          </m:rPr>
          <m:t>[</m:t>
        </m:r>
        <m:r>
          <m:t>3</m:t>
        </m:r>
        <m:r>
          <m:rPr>
            <m:sty m:val="p"/>
          </m:rPr>
          <m:t>,</m:t>
        </m:r>
        <m:r>
          <m:t>7</m:t>
        </m:r>
        <m:r>
          <m:rPr>
            <m:sty m:val="p"/>
          </m:rPr>
          <m:t>]</m:t>
        </m:r>
        <m:sSub>
          <m:e>
            <m:r>
              <m:t>M</m:t>
            </m:r>
          </m:e>
          <m:sub>
            <m:r>
              <m:t>P</m:t>
            </m:r>
            <m:r>
              <m:t>l</m:t>
            </m:r>
          </m:sub>
        </m:sSub>
      </m:oMath>
      <w:r>
        <w:t xml:space="preserve">. The fraction of points that</w:t>
      </w:r>
      <w:r>
        <w:t xml:space="preserve"> </w:t>
      </w:r>
      <w:r>
        <w:t xml:space="preserve">inflate sufficiently is</w:t>
      </w:r>
    </w:p>
    <w:p>
      <w:pPr>
        <w:pStyle w:val="BodyText"/>
      </w:pPr>
      <m:oMathPara>
        <m:oMathParaPr>
          <m:jc m:val="center"/>
        </m:oMathParaPr>
        <m:oMath>
          <m:sSub>
            <m:e>
              <m:r>
                <m:rPr>
                  <m:sty m:val="p"/>
                </m:rPr>
                <m:t>Δ</m:t>
              </m:r>
            </m:e>
            <m:sub>
              <m:r>
                <m:rPr>
                  <m:nor/>
                  <m:sty m:val="p"/>
                </m:rPr>
                <m:t>plateau</m:t>
              </m:r>
            </m:sub>
          </m:sSub>
          <m:r>
            <m:rPr>
              <m:sty m:val="p"/>
            </m:rPr>
            <m:t>=</m:t>
          </m:r>
          <m:f>
            <m:fPr>
              <m:type m:val="bar"/>
            </m:fPr>
            <m:num>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r>
                <m:t> </m:t>
              </m:r>
              <m:r>
                <m:rPr>
                  <m:sty m:val="p"/>
                </m:rPr>
                <m:t>Θ</m:t>
              </m:r>
              <m:r>
                <m:rPr>
                  <m:sty m:val="p"/>
                </m:rPr>
                <m:t>(</m:t>
              </m:r>
              <m:r>
                <m:t>N</m:t>
              </m:r>
              <m:r>
                <m:rPr>
                  <m:sty m:val="p"/>
                </m:rPr>
                <m:t>(</m:t>
              </m:r>
              <m:r>
                <m:t>β</m:t>
              </m:r>
              <m:r>
                <m:rPr>
                  <m:sty m:val="p"/>
                </m:rPr>
                <m:t>,</m:t>
              </m:r>
              <m:r>
                <m:rPr>
                  <m:sty m:val="p"/>
                </m:rPr>
                <m:t>Δ</m:t>
              </m:r>
              <m:r>
                <m:rPr>
                  <m:sty m:val="p"/>
                </m:rPr>
                <m:t>,</m:t>
              </m:r>
              <m:sSub>
                <m:e>
                  <m:r>
                    <m:t>χ</m:t>
                  </m:r>
                </m:e>
                <m:sub>
                  <m:r>
                    <m:t>0</m:t>
                  </m:r>
                </m:sub>
              </m:sSub>
              <m:r>
                <m:rPr>
                  <m:sty m:val="p"/>
                </m:rPr>
                <m:t>)</m:t>
              </m:r>
              <m:r>
                <m:rPr>
                  <m:sty m:val="p"/>
                </m:rPr>
                <m:t>−</m:t>
              </m:r>
              <m:r>
                <m:t>50</m:t>
              </m:r>
              <m:r>
                <m:rPr>
                  <m:sty m:val="p"/>
                </m:rPr>
                <m:t>)</m:t>
              </m:r>
            </m:num>
            <m:den>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den>
          </m:f>
          <m:r>
            <m:rPr>
              <m:sty m:val="p"/>
            </m:rPr>
            <m:t>=</m:t>
          </m:r>
          <m:r>
            <m:t>0.27</m:t>
          </m:r>
          <m:r>
            <m:rPr>
              <m:sty m:val="p"/>
            </m:rPr>
            <m:t>±</m:t>
          </m:r>
          <m:r>
            <m:t>0.02</m:t>
          </m:r>
          <m:r>
            <m:rPr>
              <m:sty m:val="p"/>
            </m:rPr>
            <m:t>,</m:t>
          </m:r>
        </m:oMath>
      </m:oMathPara>
    </w:p>
    <w:p>
      <w:pPr>
        <w:pStyle w:val="FirstParagraph"/>
      </w:pPr>
      <w:r>
        <w:t xml:space="preserve">where the quoted uncertainty is the Monte-Carlo sampling error. Within</w:t>
      </w:r>
      <w:r>
        <w:t xml:space="preserve"> </w:t>
      </w:r>
      <w:r>
        <w:t xml:space="preserve">the successful region the observables vary smoothly with</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w:t>
      </w:r>
      <w:r>
        <w:t xml:space="preserve"> </w:t>
      </w:r>
      <w:r>
        <w:t xml:space="preserve">model predicts a continuous strip in the</w:t>
      </w:r>
      <w:r>
        <w:t xml:space="preserve"> </w:t>
      </w:r>
      <m:oMath>
        <m:sSub>
          <m:e>
            <m:r>
              <m:t>n</m:t>
            </m:r>
          </m:e>
          <m:sub>
            <m:r>
              <m:t>s</m:t>
            </m:r>
          </m:sub>
        </m:sSub>
      </m:oMath>
      <w:r>
        <w:t xml:space="preserve">–</w:t>
      </w:r>
      <m:oMath>
        <m:r>
          <m:t>r</m:t>
        </m:r>
      </m:oMath>
      <w:r>
        <w:t xml:space="preserve"> </w:t>
      </w:r>
      <w:r>
        <w:t xml:space="preserve">plane rather than an</w:t>
      </w:r>
      <w:r>
        <w:t xml:space="preserve"> </w:t>
      </w:r>
      <w:r>
        <w:t xml:space="preserve">isolated point. The plateau therefore occupies a finite volume in</w:t>
      </w:r>
      <w:r>
        <w:t xml:space="preserve"> </w:t>
      </w:r>
      <w:r>
        <w:t xml:space="preserve">parameter space, while the failed points cluster at either</w:t>
      </w:r>
      <w:r>
        <w:t xml:space="preserve"> </w:t>
      </w:r>
      <m:oMath>
        <m:r>
          <m:t>β</m:t>
        </m:r>
        <m:r>
          <m:rPr>
            <m:sty m:val="p"/>
          </m:rPr>
          <m:t>≲</m:t>
        </m:r>
        <m:r>
          <m:t>0.05</m:t>
        </m:r>
      </m:oMath>
      <w:r>
        <w:t xml:space="preserve"> </w:t>
      </w:r>
      <w:r>
        <w:t xml:space="preserve">(insufficient screening) or</w:t>
      </w:r>
      <w:r>
        <w:t xml:space="preserve"> </w:t>
      </w:r>
      <m:oMath>
        <m:r>
          <m:rPr>
            <m:sty m:val="p"/>
          </m:rPr>
          <m:t>Δ</m:t>
        </m:r>
        <m:r>
          <m:rPr>
            <m:sty m:val="p"/>
          </m:rPr>
          <m:t>≳</m:t>
        </m:r>
        <m:r>
          <m:t>1.2</m:t>
        </m:r>
      </m:oMath>
      <w:r>
        <w:t xml:space="preserve"> </w:t>
      </w:r>
      <w:r>
        <w:t xml:space="preserve">(screen too broad to localize the cancellation).</w:t>
      </w:r>
    </w:p>
    <w:bookmarkEnd w:id="27"/>
    <w:bookmarkStart w:id="28" w:name="eft-validity-and-cutoff-hierarchy"/>
    <w:p>
      <w:pPr>
        <w:pStyle w:val="Heading1"/>
      </w:pPr>
      <w:r>
        <w:t xml:space="preserve">EFT validity and cutoff hierarchy</w:t>
      </w:r>
    </w:p>
    <w:p>
      <w:pPr>
        <w:pStyle w:val="FirstParagraph"/>
      </w:pPr>
      <w:r>
        <w:t xml:space="preserve">The leading higher-derivative operator induced by the non-minimal</w:t>
      </w:r>
      <w:r>
        <w:t xml:space="preserve"> </w:t>
      </w:r>
      <w:r>
        <w:t xml:space="preserve">coupling yields a strong-coupling scale</w:t>
      </w:r>
    </w:p>
    <w:p>
      <w:pPr>
        <w:pStyle w:val="BodyText"/>
      </w:pPr>
      <m:oMathPara>
        <m:oMathParaPr>
          <m:jc m:val="center"/>
        </m:oMathParaPr>
        <m:oMath>
          <m:sSubSup>
            <m:e>
              <m:r>
                <m:rPr>
                  <m:sty m:val="p"/>
                </m:rPr>
                <m:t>Λ</m:t>
              </m:r>
            </m:e>
            <m:sub>
              <m:r>
                <m:rPr>
                  <m:nor/>
                  <m:sty m:val="p"/>
                </m:rPr>
                <m:t>sc</m:t>
              </m:r>
            </m:sub>
            <m:sup>
              <m:r>
                <m:t>2</m:t>
              </m:r>
            </m:sup>
          </m:sSubSup>
          <m:r>
            <m:rPr>
              <m:sty m:val="p"/>
            </m:rPr>
            <m:t>≃</m:t>
          </m:r>
          <m:f>
            <m:fPr>
              <m:type m:val="bar"/>
            </m:fPr>
            <m:num>
              <m:r>
                <m:t>16</m:t>
              </m:r>
              <m:sSup>
                <m:e>
                  <m:r>
                    <m:t>π</m:t>
                  </m:r>
                </m:e>
                <m:sup>
                  <m:r>
                    <m:t>2</m:t>
                  </m:r>
                </m:sup>
              </m:sSup>
              <m:r>
                <m:t>F</m:t>
              </m:r>
              <m:r>
                <m:rPr>
                  <m:sty m:val="p"/>
                </m:rPr>
                <m:t>(</m:t>
              </m:r>
              <m:r>
                <m:t>χ</m:t>
              </m:r>
              <m:sSup>
                <m:e>
                  <m:r>
                    <m:rPr>
                      <m:sty m:val="p"/>
                    </m:rPr>
                    <m:t>)</m:t>
                  </m:r>
                </m:e>
                <m:sup>
                  <m:r>
                    <m:t>2</m:t>
                  </m:r>
                </m:sup>
              </m:sSup>
            </m:num>
            <m:den>
              <m:sSup>
                <m:e>
                  <m:d>
                    <m:dPr>
                      <m:begChr m:val="("/>
                      <m:sepChr m:val=""/>
                      <m:endChr m:val=")"/>
                      <m:grow/>
                    </m:dPr>
                    <m:e>
                      <m:sSup>
                        <m:e>
                          <m:r>
                            <m:t>F</m:t>
                          </m:r>
                        </m:e>
                        <m:sup>
                          <m:r>
                            <m:rPr>
                              <m:sty m:val="p"/>
                            </m:rPr>
                            <m:t>′</m:t>
                          </m:r>
                        </m:sup>
                      </m:sSup>
                      <m:r>
                        <m:rPr>
                          <m:sty m:val="p"/>
                        </m:rPr>
                        <m:t>(</m:t>
                      </m:r>
                      <m:r>
                        <m:t>χ</m:t>
                      </m:r>
                      <m:r>
                        <m:rPr>
                          <m:sty m:val="p"/>
                        </m:rPr>
                        <m:t>)</m:t>
                      </m:r>
                    </m:e>
                  </m:d>
                </m:e>
                <m:sup>
                  <m:r>
                    <m:t>2</m:t>
                  </m:r>
                </m:sup>
              </m:sSup>
              <m:r>
                <m:rPr>
                  <m:sty m:val="p"/>
                </m:rPr>
                <m:t>+</m:t>
              </m:r>
              <m:r>
                <m:t>F</m:t>
              </m:r>
              <m:r>
                <m:rPr>
                  <m:sty m:val="p"/>
                </m:rPr>
                <m:t>(</m:t>
              </m:r>
              <m:r>
                <m:t>χ</m:t>
              </m:r>
              <m:r>
                <m:rPr>
                  <m:sty m:val="p"/>
                </m:rPr>
                <m:t>)</m:t>
              </m:r>
              <m:sSup>
                <m:e>
                  <m:r>
                    <m:t>F</m:t>
                  </m:r>
                </m:e>
                <m:sup>
                  <m:r>
                    <m:rPr>
                      <m:sty m:val="p"/>
                    </m:rPr>
                    <m:t>″</m:t>
                  </m:r>
                </m:sup>
              </m:sSup>
              <m:r>
                <m:rPr>
                  <m:sty m:val="p"/>
                </m:rPr>
                <m:t>(</m:t>
              </m:r>
              <m:r>
                <m:t>χ</m:t>
              </m:r>
              <m:r>
                <m:rPr>
                  <m:sty m:val="p"/>
                </m:rPr>
                <m:t>)</m:t>
              </m:r>
            </m:den>
          </m:f>
          <m:r>
            <m:rPr>
              <m:sty m:val="p"/>
            </m:rPr>
            <m:t>,</m:t>
          </m:r>
        </m:oMath>
      </m:oMathPara>
    </w:p>
    <w:p>
      <w:pPr>
        <w:pStyle w:val="FirstParagraph"/>
      </w:pPr>
      <w:r>
        <w:t xml:space="preserve">which reduces to the familiar Higgs-inflation expression in the limit of</w:t>
      </w:r>
      <w:r>
        <w:t xml:space="preserve"> </w:t>
      </w:r>
      <w:r>
        <w:t xml:space="preserve">slowly varying</w:t>
      </w:r>
      <w:r>
        <w:t xml:space="preserve"> </w:t>
      </w:r>
      <m:oMath>
        <m:r>
          <m:t>F</m:t>
        </m:r>
      </m:oMath>
      <w:r>
        <w:t xml:space="preserve">. Using the background solutions that match the Planck</w:t>
      </w:r>
      <w:r>
        <w:t xml:space="preserve"> </w:t>
      </w:r>
      <w:r>
        <w:t xml:space="preserve">posterior we find</w:t>
      </w:r>
      <w:r>
        <w:t xml:space="preserve"> </w:t>
      </w:r>
      <m:oMath>
        <m:sSub>
          <m:e>
            <m:r>
              <m:rPr>
                <m:sty m:val="p"/>
              </m:rPr>
              <m:t>Λ</m:t>
            </m:r>
          </m:e>
          <m:sub>
            <m:r>
              <m:rPr>
                <m:nor/>
                <m:sty m:val="p"/>
              </m:rPr>
              <m:t>sc</m:t>
            </m:r>
          </m:sub>
        </m:sSub>
        <m:r>
          <m:rPr>
            <m:sty m:val="p"/>
          </m:rPr>
          <m:t>/</m:t>
        </m:r>
        <m:r>
          <m:t>H</m:t>
        </m:r>
        <m:r>
          <m:rPr>
            <m:sty m:val="p"/>
          </m:rPr>
          <m:t>∈</m:t>
        </m:r>
        <m:r>
          <m:rPr>
            <m:sty m:val="p"/>
          </m:rPr>
          <m:t>[</m:t>
        </m:r>
        <m:r>
          <m:t>12</m:t>
        </m:r>
        <m:r>
          <m:rPr>
            <m:sty m:val="p"/>
          </m:rPr>
          <m:t>,</m:t>
        </m:r>
        <m:r>
          <m:t>55</m:t>
        </m:r>
        <m:r>
          <m:rPr>
            <m:sty m:val="p"/>
          </m:rPr>
          <m:t>]</m:t>
        </m:r>
      </m:oMath>
      <w:r>
        <w:t xml:space="preserve"> </w:t>
      </w:r>
      <w:r>
        <w:t xml:space="preserve">between horizon exit</w:t>
      </w:r>
      <w:r>
        <w:t xml:space="preserve"> </w:t>
      </w:r>
      <w:r>
        <w:t xml:space="preserve">and the end of inflation, with the minimum reached close to the screen</w:t>
      </w:r>
      <w:r>
        <w:t xml:space="preserve"> </w:t>
      </w:r>
      <w:r>
        <w:t xml:space="preserve">maximum where</w:t>
      </w:r>
      <w:r>
        <w:t xml:space="preserve"> </w:t>
      </w:r>
      <m:oMath>
        <m:sSup>
          <m:e>
            <m:r>
              <m:t>F</m:t>
            </m:r>
          </m:e>
          <m:sup>
            <m:r>
              <m:rPr>
                <m:sty m:val="p"/>
              </m:rPr>
              <m:t>′</m:t>
            </m:r>
          </m:sup>
        </m:sSup>
        <m:r>
          <m:rPr>
            <m:sty m:val="p"/>
          </m:rPr>
          <m:t>/</m:t>
        </m:r>
        <m:r>
          <m:t>F</m:t>
        </m:r>
      </m:oMath>
      <w:r>
        <w:t xml:space="preserve"> </w:t>
      </w:r>
      <w:r>
        <w:t xml:space="preserve">peaks. The hierarchy improves both before the field</w:t>
      </w:r>
      <w:r>
        <w:t xml:space="preserve"> </w:t>
      </w:r>
      <w:r>
        <w:t xml:space="preserve">enters the screen (</w:t>
      </w:r>
      <m:oMath>
        <m:sSup>
          <m:e>
            <m:r>
              <m:t>F</m:t>
            </m:r>
          </m:e>
          <m:sup>
            <m:r>
              <m:rPr>
                <m:sty m:val="p"/>
              </m:rPr>
              <m:t>′</m:t>
            </m:r>
          </m:sup>
        </m:sSup>
        <m:r>
          <m:rPr>
            <m:sty m:val="p"/>
          </m:rPr>
          <m:t>→</m:t>
        </m:r>
        <m:r>
          <m:t>0</m:t>
        </m:r>
      </m:oMath>
      <w:r>
        <w:t xml:space="preserve">) and after it relaxes back to the</w:t>
      </w:r>
      <w:r>
        <w:t xml:space="preserve"> </w:t>
      </w:r>
      <w:r>
        <w:t xml:space="preserve">GR value. This demonstrates that the ASG plateau remains in the regime of</w:t>
      </w:r>
      <w:r>
        <w:t xml:space="preserve"> </w:t>
      </w:r>
      <w:r>
        <w:t xml:space="preserve">valid single-field EFT and that the running of the Planck mass never</w:t>
      </w:r>
      <w:r>
        <w:t xml:space="preserve"> </w:t>
      </w:r>
      <w:r>
        <w:t xml:space="preserve">forces the cutoff below the inflationary scale.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therefore holds across the full posterior</w:t>
      </w:r>
      <w:r>
        <w:t xml:space="preserve"> </w:t>
      </w:r>
      <w:r>
        <w:t xml:space="preserve">region, ensuring that inflation proceeds entirely within the controlled</w:t>
      </w:r>
      <w:r>
        <w:t xml:space="preserve"> </w:t>
      </w:r>
      <w:r>
        <w:t xml:space="preserve">EFT domain.</w:t>
      </w:r>
    </w:p>
    <w:bookmarkEnd w:id="28"/>
    <w:bookmarkStart w:id="33" w:name="frg-inspired-scale-identification"/>
    <w:p>
      <w:pPr>
        <w:pStyle w:val="Heading1"/>
      </w:pPr>
      <w:r>
        <w:t xml:space="preserve">FRG-inspired scale identification</w:t>
      </w:r>
    </w:p>
    <w:p>
      <w:pPr>
        <w:pStyle w:val="FirstParagraph"/>
      </w:pPr>
      <w:r>
        <w:t xml:space="preserve">To illustrate how threshold effects in functional renormalization-group</w:t>
      </w:r>
      <w:r>
        <w:t xml:space="preserve"> </w:t>
      </w:r>
      <w:r>
        <w:t xml:space="preserve">flows can map onto the</w:t>
      </w:r>
      <w:r>
        <w:t xml:space="preserve"> </w:t>
      </w:r>
      <m:oMath>
        <m:r>
          <m:t>F</m:t>
        </m:r>
        <m:r>
          <m:rPr>
            <m:sty m:val="p"/>
          </m:rPr>
          <m:t>(</m:t>
        </m:r>
        <m:r>
          <m:t>χ</m:t>
        </m:r>
        <m:r>
          <m:rPr>
            <m:sty m:val="p"/>
          </m:rPr>
          <m:t>)</m:t>
        </m:r>
      </m:oMath>
      <w:r>
        <w:t xml:space="preserve"> </w:t>
      </w:r>
      <w:r>
        <w:t xml:space="preserve">ansatz, we consider a toy running</w:t>
      </w:r>
      <w:r>
        <w:t xml:space="preserve"> </w:t>
      </w:r>
      <w:r>
        <w:t xml:space="preserve">Newton coupling</w:t>
      </w:r>
    </w:p>
    <w:p>
      <w:pPr>
        <w:pStyle w:val="BodyText"/>
      </w:pPr>
      <m:oMathPara>
        <m:oMathParaPr>
          <m:jc m:val="center"/>
        </m:oMathParaPr>
        <m:oMath>
          <m:r>
            <m:t>G</m:t>
          </m:r>
          <m:r>
            <m:rPr>
              <m:sty m:val="p"/>
            </m:rPr>
            <m:t>(</m:t>
          </m:r>
          <m:r>
            <m:t>k</m:t>
          </m:r>
          <m:r>
            <m:rPr>
              <m:sty m:val="p"/>
            </m:rPr>
            <m:t>)</m:t>
          </m:r>
          <m:r>
            <m:rPr>
              <m:sty m:val="p"/>
            </m:rPr>
            <m:t>=</m:t>
          </m:r>
          <m:f>
            <m:fPr>
              <m:type m:val="bar"/>
            </m:fPr>
            <m:num>
              <m:sSub>
                <m:e>
                  <m:r>
                    <m:t>G</m:t>
                  </m:r>
                </m:e>
                <m:sub>
                  <m:r>
                    <m:t>0</m:t>
                  </m:r>
                </m:sub>
              </m:sSub>
            </m:num>
            <m:den>
              <m:r>
                <m:t>1</m:t>
              </m:r>
              <m:r>
                <m:rPr>
                  <m:sty m:val="p"/>
                </m:rPr>
                <m:t>+</m:t>
              </m:r>
              <m:r>
                <m:t>ω</m:t>
              </m:r>
              <m:sSup>
                <m:e>
                  <m:r>
                    <m:t>k</m:t>
                  </m:r>
                </m:e>
                <m:sup>
                  <m:r>
                    <m:t>2</m:t>
                  </m:r>
                </m:sup>
              </m:sSup>
            </m:den>
          </m:f>
          <m:r>
            <m:rPr>
              <m:sty m:val="p"/>
            </m:rPr>
            <m:t>,</m:t>
          </m:r>
        </m:oMath>
      </m:oMathPara>
    </w:p>
    <w:p>
      <w:pPr>
        <w:pStyle w:val="FirstParagraph"/>
      </w:pPr>
      <w:r>
        <w:t xml:space="preserve">with</w:t>
      </w:r>
      <w:r>
        <w:t xml:space="preserve"> </w:t>
      </w:r>
      <m:oMath>
        <m:r>
          <m:t>ω</m:t>
        </m:r>
        <m:r>
          <m:rPr>
            <m:sty m:val="p"/>
          </m:rPr>
          <m:t>&gt;</m:t>
        </m:r>
        <m:r>
          <m:t>0</m:t>
        </m:r>
      </m:oMath>
      <w:r>
        <w:t xml:space="preserve">. Identifying the RG scale with a curvature-related</w:t>
      </w:r>
      <w:r>
        <w:t xml:space="preserve"> </w:t>
      </w:r>
      <w:r>
        <w:t xml:space="preserve">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t>P</m:t>
                </m:r>
                <m: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The construction should therefore not be interpreted as inflation</w:t>
      </w:r>
      <w:r>
        <w:t xml:space="preserve"> </w:t>
      </w:r>
      <w:r>
        <w:t xml:space="preserve">occurring directly in the ultraviolet fixed-point regime. Instead,</w:t>
      </w:r>
      <w:r>
        <w:t xml:space="preserve"> </w:t>
      </w:r>
      <w:r>
        <w:t xml:space="preserve">asymptotic safety motivates the possibility of running gravitational</w:t>
      </w:r>
      <w:r>
        <w:t xml:space="preserve"> </w:t>
      </w:r>
      <w:r>
        <w:t xml:space="preserve">strength, while the inflationary plateau itself is generated by an</w:t>
      </w:r>
      <w:r>
        <w:t xml:space="preserve"> </w:t>
      </w:r>
      <w:r>
        <w:t xml:space="preserve">intermediate threshold scale where the running becomes dynamically</w:t>
      </w:r>
      <w:r>
        <w:t xml:space="preserve"> </w:t>
      </w:r>
      <w:r>
        <w:t xml:space="preserve">relevant. In this sense the model represents an RG-induced threshold</w:t>
      </w:r>
      <w:r>
        <w:t xml:space="preserve"> </w:t>
      </w:r>
      <w:r>
        <w:t xml:space="preserve">inflation scenario rather than a strict UV fixed-point inflationary</w:t>
      </w:r>
      <w:r>
        <w:t xml:space="preserve"> </w:t>
      </w:r>
      <w:r>
        <w:t xml:space="preserve">phase.</w:t>
      </w:r>
    </w:p>
    <w:p>
      <w:pPr>
        <w:pStyle w:val="BodyText"/>
      </w:pPr>
      <w:r>
        <w:t xml:space="preserve">Expanding around the threshold position</w:t>
      </w:r>
      <w:r>
        <w:t xml:space="preserve"> </w:t>
      </w:r>
      <m:oMath>
        <m:sSub>
          <m:e>
            <m:r>
              <m:t>χ</m:t>
            </m:r>
          </m:e>
          <m:sub>
            <m:r>
              <m:t>0</m:t>
            </m:r>
          </m:sub>
        </m:sSub>
      </m:oMath>
      <w:r>
        <w:t xml:space="preserve"> </w:t>
      </w:r>
      <w:r>
        <w:t xml:space="preserve">produces to leading</w:t>
      </w:r>
      <w:r>
        <w:t xml:space="preserve"> </w:t>
      </w:r>
      <w:r>
        <w:t xml:space="preserve">order a Gaussian-like feature,</w:t>
      </w:r>
    </w:p>
    <w:p>
      <w:pPr>
        <w:pStyle w:val="BodyText"/>
      </w:pPr>
      <m:oMathPara>
        <m:oMathParaPr>
          <m:jc m:val="center"/>
        </m:oMathParaPr>
        <m:oMath>
          <m:r>
            <m:t>G</m:t>
          </m:r>
          <m:r>
            <m:rPr>
              <m:sty m:val="p"/>
            </m:rPr>
            <m:t>(</m:t>
          </m:r>
          <m:r>
            <m:t>χ</m:t>
          </m:r>
          <m:r>
            <m:rPr>
              <m:sty m:val="p"/>
            </m:rPr>
            <m:t>)</m:t>
          </m:r>
          <m:r>
            <m:rPr>
              <m:sty m:val="p"/>
            </m:rPr>
            <m:t>≃</m:t>
          </m:r>
          <m:sSub>
            <m:e>
              <m:r>
                <m:t>G</m:t>
              </m:r>
            </m:e>
            <m:sub>
              <m:r>
                <m:t>0</m:t>
              </m:r>
            </m:sub>
          </m:sSub>
          <m:sSup>
            <m:e>
              <m:d>
                <m:dPr>
                  <m:begChr m:val="["/>
                  <m:sepChr m:val=""/>
                  <m:endChr m:val="]"/>
                  <m:grow/>
                </m:dPr>
                <m:e>
                  <m:r>
                    <m:t>1</m:t>
                  </m:r>
                  <m:r>
                    <m:rPr>
                      <m:sty m:val="p"/>
                    </m:rPr>
                    <m:t>+</m:t>
                  </m:r>
                  <m:acc>
                    <m:accPr>
                      <m:chr m:val="̃"/>
                    </m:accPr>
                    <m:e>
                      <m:r>
                        <m:t>β</m:t>
                      </m:r>
                    </m:e>
                  </m:acc>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acc>
                                <m:accPr>
                                  <m:chr m:val="̃"/>
                                </m:accPr>
                                <m:e>
                                  <m:r>
                                    <m:rPr>
                                      <m:sty m:val="p"/>
                                    </m:rPr>
                                    <m:t>Δ</m:t>
                                  </m:r>
                                </m:e>
                              </m:acc>
                            </m:e>
                            <m:sup>
                              <m:r>
                                <m:t>2</m:t>
                              </m:r>
                            </m:sup>
                          </m:sSup>
                        </m:den>
                      </m:f>
                    </m:e>
                  </m:d>
                </m:e>
              </m:d>
            </m:e>
            <m:sup>
              <m:r>
                <m:rPr>
                  <m:sty m:val="p"/>
                </m:rPr>
                <m:t>−</m:t>
              </m:r>
              <m:r>
                <m:t>1</m:t>
              </m:r>
            </m:sup>
          </m:sSup>
          <m:r>
            <m:rPr>
              <m:sty m:val="p"/>
            </m:rPr>
            <m:t>,</m:t>
          </m:r>
        </m:oMath>
      </m:oMathPara>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w:t>
      </w:r>
      <w:r>
        <w:t xml:space="preserve"> </w:t>
      </w:r>
      <w:r>
        <w:t xml:space="preserve">plausibility of threshold-induced screening; refining the truncation is</w:t>
      </w:r>
      <w:r>
        <w:t xml:space="preserve"> </w:t>
      </w:r>
      <w:r>
        <w:t xml:space="preserve">left for future work.</w:t>
      </w:r>
    </w:p>
    <w:bookmarkStart w:id="29" w:name="data-availability"/>
    <w:p>
      <w:pPr>
        <w:pStyle w:val="Heading2"/>
      </w:pPr>
      <w:r>
        <w:t xml:space="preserve">Data Availability</w:t>
      </w:r>
    </w:p>
    <w:p>
      <w:pPr>
        <w:pStyle w:val="FirstParagraph"/>
      </w:pPr>
      <w:r>
        <w:t xml:space="preserve">The MCMC chains, configuration files (.param, .ini), covariance matrices, and GetDist analysis outputs will be made publicly available upon publication of this preprint on Zenodo (DOI forthcoming). This will enable full reproduction of the posterior constraints in Table 1 and Figures 1–2, as well as the CLASS and MontePython pipelines used in the analysis.</w:t>
      </w:r>
    </w:p>
    <w:bookmarkEnd w:id="29"/>
    <w:bookmarkStart w:id="30" w:name="X39329bea501477fa5cdd708a70f6d83b6ca7779"/>
    <w:p>
      <w:pPr>
        <w:pStyle w:val="Heading2"/>
      </w:pPr>
      <w:r>
        <w:t xml:space="preserve">Appendix A — Numerical verification with CLASS</w:t>
      </w:r>
    </w:p>
    <w:p>
      <w:pPr>
        <w:pStyle w:val="FirstParagraph"/>
      </w:pPr>
      <w:r>
        <w:t xml:space="preserve">To validate the slow-roll predictions in the presence of a sharp RG-induced threshold, we performed a full numerical evolution of the inflationary background and perturbations using the Boltzmann solver CLASS.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was implemented directly inside the routine. No slow-roll approximation is used by CLASS in the computation of the scalar spectrum; instead the Mukhanov–Sasaki equation is solved numerically.</w:t>
      </w:r>
    </w:p>
    <w:p>
      <w:pPr>
        <w:pStyle w:val="BodyText"/>
      </w:pPr>
      <w:r>
        <w:t xml:space="preserve">We tested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t>μ</m:t>
        </m:r>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r>
          <m:t>5</m:t>
        </m:r>
        <m:sSub>
          <m:e>
            <m:r>
              <m:t>M</m:t>
            </m:r>
          </m:e>
          <m:sub>
            <m:r>
              <m:t>P</m:t>
            </m:r>
            <m:r>
              <m:t>l</m:t>
            </m:r>
          </m:sub>
        </m:sSub>
        <m:r>
          <m:rPr>
            <m:sty m:val="p"/>
          </m:rPr>
          <m:t>)</m:t>
        </m:r>
      </m:oMath>
      <w:r>
        <w:t xml:space="preserve">, for which slow-roll predicts an enhanced running of order</w:t>
      </w:r>
      <w:r>
        <w:t xml:space="preserve"> </w:t>
      </w:r>
      <m:oMath>
        <m:sSup>
          <m:e>
            <m:r>
              <m:t>10</m:t>
            </m:r>
          </m:e>
          <m:sup>
            <m:r>
              <m:rPr>
                <m:sty m:val="p"/>
              </m:rPr>
              <m:t>−</m:t>
            </m:r>
            <m:r>
              <m:t>3</m:t>
            </m:r>
          </m:sup>
        </m:sSup>
      </m:oMath>
      <w:r>
        <w:t xml:space="preserve">. The numerical result obtained from CLASS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The agreement with the analytical second-order slow-roll estimate is better than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demonstrating that the enhanced running is a physical effect and not an artifact of the slow-roll expansion. All scripts required to reproduce the calculation (including the CLASS patch and tabulated potential generator) are publicly available in the accompanying repository.</w:t>
      </w:r>
    </w:p>
    <w:bookmarkEnd w:id="30"/>
    <w:bookmarkStart w:id="31" w:name="Xf706b77f1078ef9def84187d8102f98cfdfec65"/>
    <w:p>
      <w:pPr>
        <w:pStyle w:val="Heading2"/>
      </w:pPr>
      <w:r>
        <w:t xml:space="preserve">Appendix B — CLASS implementation via external spectra</w:t>
      </w:r>
    </w:p>
    <w:p>
      <w:pPr>
        <w:pStyle w:val="FirstParagraph"/>
      </w:pPr>
      <w:r>
        <w:t xml:space="preserve">To embed the RG-threshold mechanism into the Boltzmann solver without modifying the</w:t>
      </w:r>
      <w:r>
        <w:t xml:space="preserve"> </w:t>
      </w:r>
      <w:r>
        <w:t xml:space="preserve"> </w:t>
      </w:r>
      <w:r>
        <w:t xml:space="preserve">source, we use the</w:t>
      </w:r>
      <w:r>
        <w:t xml:space="preserve"> </w:t>
      </w:r>
      <w:r>
        <w:t xml:space="preserve"> </w:t>
      </w:r>
      <w:r>
        <w:t xml:space="preserve">interface. The background equations and the mapping of comoving scales to the field value at horizon exit,</w:t>
      </w:r>
      <w:r>
        <w:t xml:space="preserve"> </w:t>
      </w:r>
      <m:oMath>
        <m:r>
          <m:t>k</m:t>
        </m:r>
        <m:r>
          <m:rPr>
            <m:sty m:val="p"/>
          </m:rPr>
          <m:t>↦</m:t>
        </m:r>
        <m:sSub>
          <m:e>
            <m:r>
              <m:t>N</m:t>
            </m:r>
          </m:e>
          <m:sub>
            <m:r>
              <m:t>k</m:t>
            </m:r>
          </m:sub>
        </m:sSub>
        <m:r>
          <m:rPr>
            <m:sty m:val="p"/>
          </m:rPr>
          <m:t>↦</m:t>
        </m:r>
        <m:sSub>
          <m:e>
            <m:r>
              <m:t>χ</m:t>
            </m:r>
          </m:e>
          <m:sub>
            <m:r>
              <m:t>k</m:t>
            </m:r>
          </m:sub>
        </m:sSub>
      </m:oMath>
      <w:r>
        <w:t xml:space="preserve">, are solved semi-analytically by a dedicated Python wrapper that exposes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its derivatives. For each mode the script finds</w:t>
      </w:r>
      <w:r>
        <w:t xml:space="preserve"> </w:t>
      </w:r>
      <m:oMath>
        <m:sSub>
          <m:e>
            <m:r>
              <m:t>χ</m:t>
            </m:r>
          </m:e>
          <m:sub>
            <m:r>
              <m:t>k</m:t>
            </m:r>
          </m:sub>
        </m:sSub>
      </m:oMath>
      <w:r>
        <w:t xml:space="preserve">, computes the corresponding slow-roll parameters (including the threshold-induced</w:t>
      </w:r>
      <w:r>
        <w:t xml:space="preserve"> </w:t>
      </w:r>
      <m:oMath>
        <m:sSup>
          <m:e>
            <m:r>
              <m:t>F</m:t>
            </m:r>
          </m:e>
          <m:sup>
            <m:r>
              <m:rPr>
                <m:sty m:val="p"/>
              </m:rPr>
              <m:t>″</m:t>
            </m:r>
          </m:sup>
        </m:sSup>
        <m:r>
          <m:rPr>
            <m:sty m:val="p"/>
          </m:rPr>
          <m:t>/</m:t>
        </m:r>
        <m:r>
          <m:t>F</m:t>
        </m:r>
      </m:oMath>
      <w:r>
        <w:t xml:space="preserve"> </w:t>
      </w:r>
      <w:r>
        <w:t xml:space="preserve">contributions), and exports the scalar and tensor spectra</w:t>
      </w:r>
      <w:r>
        <w:t xml:space="preserve"> </w:t>
      </w:r>
      <m:oMath>
        <m:sSub>
          <m:e>
            <m:r>
              <m:t>P</m:t>
            </m:r>
          </m:e>
          <m:sub>
            <m:r>
              <m:t>ζ</m:t>
            </m:r>
          </m:sub>
        </m:sSub>
        <m:r>
          <m:rPr>
            <m:sty m:val="p"/>
          </m:rPr>
          <m:t>(</m:t>
        </m:r>
        <m:r>
          <m:t>k</m:t>
        </m:r>
        <m:r>
          <m:rPr>
            <m:sty m:val="p"/>
          </m:rPr>
          <m:t>)</m:t>
        </m:r>
      </m:oMath>
      <w:r>
        <w:t xml:space="preserve">,</w:t>
      </w:r>
      <w:r>
        <w:t xml:space="preserve"> </w:t>
      </w:r>
      <m:oMath>
        <m:sSub>
          <m:e>
            <m:r>
              <m:t>P</m:t>
            </m:r>
          </m:e>
          <m:sub>
            <m:r>
              <m:t>h</m:t>
            </m:r>
          </m:sub>
        </m:sSub>
        <m:r>
          <m:rPr>
            <m:sty m:val="p"/>
          </m:rPr>
          <m:t>(</m:t>
        </m:r>
        <m:r>
          <m:t>k</m:t>
        </m:r>
        <m:r>
          <m:rPr>
            <m:sty m:val="p"/>
          </m:rPr>
          <m:t>)</m:t>
        </m:r>
      </m:oMath>
      <w:r>
        <w:t xml:space="preserve">.</w:t>
      </w:r>
    </w:p>
    <w:p>
      <w:pPr>
        <w:pStyle w:val="BodyText"/>
      </w:pPr>
      <w:r>
        <w:t xml:space="preserve"> </w:t>
      </w:r>
      <w:r>
        <w:t xml:space="preserve">then reads these spectra via</w:t>
      </w:r>
    </w:p>
    <w:p>
      <w:pPr>
        <w:pStyle w:val="BodyText"/>
      </w:pPr>
      <w:r>
        <w:t xml:space="preserve">which passes the threshold parameters</w:t>
      </w:r>
      <w:r>
        <w:t xml:space="preserve"> </w:t>
      </w:r>
      <m:oMath>
        <m:r>
          <m:rPr>
            <m:sty m:val="p"/>
          </m:rPr>
          <m:t>(</m:t>
        </m:r>
        <m:r>
          <m:t>β</m:t>
        </m:r>
        <m:r>
          <m:rPr>
            <m:sty m:val="p"/>
          </m:rPr>
          <m:t>,</m:t>
        </m:r>
        <m:r>
          <m:rPr>
            <m:sty m:val="p"/>
          </m:rPr>
          <m:t>Δ</m:t>
        </m:r>
        <m:r>
          <m:rPr>
            <m:sty m:val="p"/>
          </m:rPr>
          <m:t>)</m:t>
        </m:r>
      </m:oMath>
      <w:r>
        <w:t xml:space="preserve"> </w:t>
      </w:r>
      <w:r>
        <w:t xml:space="preserve">to the wrapper and guarantees that the sharp feature in</w:t>
      </w:r>
      <w:r>
        <w:t xml:space="preserve"> </w:t>
      </w:r>
      <m:oMath>
        <m:r>
          <m:t>F</m:t>
        </m:r>
        <m:r>
          <m:rPr>
            <m:sty m:val="p"/>
          </m:rPr>
          <m:t>(</m:t>
        </m:r>
        <m:r>
          <m:t>χ</m:t>
        </m:r>
        <m:r>
          <m:rPr>
            <m:sty m:val="p"/>
          </m:rPr>
          <m:t>)</m:t>
        </m:r>
      </m:oMath>
      <w:r>
        <w:t xml:space="preserve"> </w:t>
      </w:r>
      <w:r>
        <w:t xml:space="preserve">is captured exactly in the primordial power spectra used for the CMB calculation.</w:t>
      </w:r>
    </w:p>
    <w:bookmarkEnd w:id="31"/>
    <w:bookmarkStart w:id="32" w:name="acknowledgments"/>
    <w:p>
      <w:pPr>
        <w:pStyle w:val="Heading2"/>
      </w:pPr>
      <w:r>
        <w:t xml:space="preserve">Acknowledgments</w:t>
      </w:r>
    </w:p>
    <w:p>
      <w:pPr>
        <w:pStyle w:val="FirstParagraph"/>
      </w:pPr>
      <w:r>
        <w:t xml:space="preserve">We thank the ASG community members who contributed numerical stability tests and polished the draft.</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 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 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 arXiv:gr-qc/0607039.</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2026-03-08T22:26:44Z</dcterms:created>
  <dcterms:modified xsi:type="dcterms:W3CDTF">2026-03-08T22:26:44Z</dcterms:modified>
</cp:coreProperties>
</file>

<file path=docProps/custom.xml><?xml version="1.0" encoding="utf-8"?>
<Properties xmlns="http://schemas.openxmlformats.org/officeDocument/2006/custom-properties" xmlns:vt="http://schemas.openxmlformats.org/officeDocument/2006/docPropsVTypes"/>
</file>