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We investigate an inflationary mechanism in which the attractor</w:t>
      </w:r>
      <w:r>
        <w:t xml:space="preserve"> </w:t>
      </w:r>
      <w:r>
        <w:t xml:space="preserve">behaviour arises from a field-dependent Planck mass rather than from a</w:t>
      </w:r>
      <w:r>
        <w:t xml:space="preserve"> </w:t>
      </w:r>
      <w:r>
        <w:t xml:space="preserve">specially tuned scalar potential. A heavy threshold sector induces a</w:t>
      </w:r>
      <w:r>
        <w:t xml:space="preserve"> </w:t>
      </w:r>
      <w:r>
        <w:t xml:space="preserve">running gravitational coupling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, so that the Einstein-frame</w:t>
      </w:r>
      <w:r>
        <w:t xml:space="preserve"> </w:t>
      </w:r>
      <w:r>
        <w:t xml:space="preserve">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dynamically develops a</w:t>
      </w:r>
      <w:r>
        <w:t xml:space="preserve"> </w:t>
      </w:r>
      <w:r>
        <w:t xml:space="preserve">plateau through gravitational screening. Inflation therefore occurs</w:t>
      </w:r>
      <w:r>
        <w:t xml:space="preserve"> </w:t>
      </w:r>
      <w:r>
        <w:t xml:space="preserve">because the effective strength of gravity decreases during horizon exit,</w:t>
      </w:r>
      <w:r>
        <w:t xml:space="preserve"> </w:t>
      </w:r>
      <w:r>
        <w:t xml:space="preserve">while the microscopic potential can remain steep. When derivatives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dominate the field-space metric, the theory approaches the</w:t>
      </w:r>
      <w:r>
        <w:t xml:space="preserve"> </w:t>
      </w:r>
      <w:r>
        <w:t xml:space="preserve">universal pole structure of single-field attractor inflation. In this</w:t>
      </w:r>
      <w:r>
        <w:t xml:space="preserve"> </w:t>
      </w:r>
      <w:r>
        <w:t xml:space="preserve">regime the slow-roll parameters are controlled primarily by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χ</m:t>
            </m:r>
          </m:sub>
        </m:sSub>
        <m:r>
          <m:rPr>
            <m:sty m:val="p"/>
          </m:rPr>
          <m:t>ln</m:t>
        </m:r>
        <m:r>
          <m:t>F</m:t>
        </m:r>
      </m:oMath>
      <w:r>
        <w:t xml:space="preserve">, providing a dynamical origin for attractor</w:t>
      </w:r>
      <w:r>
        <w:t xml:space="preserve"> </w:t>
      </w:r>
      <w:r>
        <w:t xml:space="preserve">geometry rather than introducing a new attractor class. The construction</w:t>
      </w:r>
      <w:r>
        <w:t xml:space="preserve"> </w:t>
      </w:r>
      <w:r>
        <w:t xml:space="preserve">can be interpreted as an RG-improved effective description capturing</w:t>
      </w:r>
      <w:r>
        <w:t xml:space="preserve"> </w:t>
      </w:r>
      <w:r>
        <w:t xml:space="preserve">threshold-induced running of Newton’s coupling. Using CLASS and</w:t>
      </w:r>
      <w:r>
        <w:t xml:space="preserve"> </w:t>
      </w:r>
      <w:r>
        <w:t xml:space="preserve">MontePython with Planck 2018 TT,TE,EE+lowE+lensing+BAO likelihoods we</w:t>
      </w:r>
      <w:r>
        <w:t xml:space="preserve"> </w:t>
      </w:r>
      <w:r>
        <w:t xml:space="preserve">obtain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0.9647</m:t>
        </m:r>
        <m:r>
          <m:rPr>
            <m:sty m:val="p"/>
          </m:rPr>
          <m:t>±</m:t>
        </m:r>
        <m:r>
          <m:t>0.0041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Scalar perturbations</w:t>
      </w:r>
      <w:r>
        <w:t xml:space="preserve"> </w:t>
      </w:r>
      <w:r>
        <w:t xml:space="preserve">are stable, non-Gaussianity is unobservably small, and the</w:t>
      </w:r>
      <w:r>
        <w:t xml:space="preserve"> </w:t>
      </w:r>
      <w:r>
        <w:t xml:space="preserve">field-dependent cutoff remains above the inflationary scale along the</w:t>
      </w:r>
      <w:r>
        <w:t xml:space="preserve"> </w:t>
      </w:r>
      <w:r>
        <w:t xml:space="preserve">background trajectory. After the field leaves the threshold region the</w:t>
      </w:r>
      <w:r>
        <w:t xml:space="preserve"> </w:t>
      </w:r>
      <w:r>
        <w:t xml:space="preserve">Planck mass relaxes to a constant and standard general relativity is</w:t>
      </w:r>
      <w:r>
        <w:t xml:space="preserve"> </w:t>
      </w:r>
      <w:r>
        <w:t xml:space="preserve">recovered. This scenario provides a concrete realization in which cosmic</w:t>
      </w:r>
      <w:r>
        <w:t xml:space="preserve"> </w:t>
      </w:r>
      <w:r>
        <w:t xml:space="preserve">microwave background observables probe derivatives of the gravitational</w:t>
      </w:r>
      <w:r>
        <w:t xml:space="preserve"> </w:t>
      </w:r>
      <w:r>
        <w:t xml:space="preserve">coupling, offering a phenomenological link between inflationary</w:t>
      </w:r>
      <w:r>
        <w:t xml:space="preserve"> </w:t>
      </w:r>
      <w:r>
        <w:t xml:space="preserve">attractors and running gravitational strength.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physical origin of the inflationary attractor remains unclear: in</w:t>
      </w:r>
      <w:r>
        <w:t xml:space="preserve"> </w:t>
      </w:r>
      <w:r>
        <w:t xml:space="preserve">most constructions it is attributed to a specially shaped scalar</w:t>
      </w:r>
      <w:r>
        <w:t xml:space="preserve"> </w:t>
      </w:r>
      <w:r>
        <w:t xml:space="preserve">potential, while the role of gravitational dynamics is assumed passive.</w:t>
      </w:r>
      <w:r>
        <w:t xml:space="preserve"> </w:t>
      </w:r>
      <w:r>
        <w:t xml:space="preserve">In this work we investigate an alternative possibility in which the</w:t>
      </w:r>
      <w:r>
        <w:t xml:space="preserve"> </w:t>
      </w:r>
      <w:r>
        <w:t xml:space="preserve">attractor arises from a running Planck mass, corresponding to a</w:t>
      </w:r>
      <w:r>
        <w:t xml:space="preserve"> </w:t>
      </w:r>
      <w:r>
        <w:t xml:space="preserve">temporary weakening of gravity during horizon exit rather than a</w:t>
      </w:r>
      <w:r>
        <w:t xml:space="preserve"> </w:t>
      </w:r>
      <w:r>
        <w:t xml:space="preserve">microscopic flattening of the potential. The ASG scenario posits that</w:t>
      </w:r>
      <w:r>
        <w:t xml:space="preserve"> </w:t>
      </w:r>
      <w:r>
        <w:t xml:space="preserve">threshold effects in a heavy sector feed into this running Planck mass,</w:t>
      </w:r>
      <w:r>
        <w:t xml:space="preserve"> </w:t>
      </w:r>
      <w:r>
        <w:t xml:space="preserve">flattening the scalar potential in the Einstein frame and producing a</w:t>
      </w:r>
      <w:r>
        <w:t xml:space="preserve"> </w:t>
      </w:r>
      <w:r>
        <w:t xml:space="preserve">robust prediction 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in the vicinity of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t>0.965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consistent with</w:t>
      </w:r>
      <w:r>
        <w:t xml:space="preserve"> </w:t>
      </w:r>
      <w:r>
        <w:t xml:space="preserve">Planck 2018 TT,TE,EE+lowE+lensing+BAO data . As with</w:t>
      </w:r>
      <w:r>
        <w:t xml:space="preserve"> </w:t>
      </w:r>
      <m:oMath>
        <m:r>
          <m:t>α</m:t>
        </m:r>
      </m:oMath>
      <w:r>
        <w:t xml:space="preserve">-attractors , the attractor behaviour is insensitive to</w:t>
      </w:r>
      <w:r>
        <w:t xml:space="preserve"> </w:t>
      </w:r>
      <w:r>
        <w:t xml:space="preserve">microphysical details provided the kinetic manifold exhibits a pole of</w:t>
      </w:r>
      <w:r>
        <w:t xml:space="preserve"> </w:t>
      </w:r>
      <w:r>
        <w:t xml:space="preserve">order two; this motivates presenting the ASG construction using</w:t>
      </w:r>
      <w:r>
        <w:t xml:space="preserve"> </w:t>
      </w:r>
      <w:r>
        <w:t xml:space="preserve">manifestly well-defined notation and citations to the existing</w:t>
      </w:r>
      <w:r>
        <w:t xml:space="preserve"> </w:t>
      </w:r>
      <w:r>
        <w:t xml:space="preserve">literature. The structure of the paper is as follows. In Sec. II we</w:t>
      </w:r>
      <w:r>
        <w:t xml:space="preserve"> </w:t>
      </w:r>
      <w:r>
        <w:t xml:space="preserve">formulate the running Planck-mass framework and derive the</w:t>
      </w:r>
      <w:r>
        <w:t xml:space="preserve"> </w:t>
      </w:r>
      <w:r>
        <w:t xml:space="preserve">Einstein-frame dynamics. Sec. III shows how the attractor behaviour</w:t>
      </w:r>
      <w:r>
        <w:t xml:space="preserve"> </w:t>
      </w:r>
      <w:r>
        <w:t xml:space="preserve">emerges from differential gravitational screening and relates it to pole</w:t>
      </w:r>
      <w:r>
        <w:t xml:space="preserve"> </w:t>
      </w:r>
      <w:r>
        <w:t xml:space="preserve">inflation geometry. In Sec. IV we compute inflationary observables and</w:t>
      </w:r>
      <w:r>
        <w:t xml:space="preserve"> </w:t>
      </w:r>
      <w:r>
        <w:t xml:space="preserve">confront the model with Planck 2018 likelihoods using CLASS and</w:t>
      </w:r>
      <w:r>
        <w:t xml:space="preserve"> </w:t>
      </w:r>
      <w:r>
        <w:t xml:space="preserve">MontePython. Sec. V analyses perturbative stability, the field-dependent</w:t>
      </w:r>
      <w:r>
        <w:t xml:space="preserve"> </w:t>
      </w:r>
      <w:r>
        <w:t xml:space="preserve">cutoff, and the recovery of standard gravity after the threshold region.</w:t>
      </w:r>
      <w:r>
        <w:t xml:space="preserve"> </w:t>
      </w:r>
      <w:r>
        <w:t xml:space="preserve">Finally, Sec. VI discusses the interpretation of the construction as an</w:t>
      </w:r>
      <w:r>
        <w:t xml:space="preserve"> </w:t>
      </w:r>
      <w:r>
        <w:t xml:space="preserve">RG-improved effective description and outlines phenomenological</w:t>
      </w:r>
      <w:r>
        <w:t xml:space="preserve"> </w:t>
      </w:r>
      <w:r>
        <w:t xml:space="preserve">implications.</w:t>
      </w:r>
    </w:p>
    <w:bookmarkEnd w:id="9"/>
    <w:bookmarkStart w:id="10" w:name="running-planck-mass-framework"/>
    <w:p>
      <w:pPr>
        <w:pStyle w:val="Heading1"/>
      </w:pPr>
      <w:r>
        <w:t xml:space="preserve">Running Planck Mass Framework</w:t>
      </w:r>
    </w:p>
    <w:p>
      <w:pPr>
        <w:pStyle w:val="FirstParagraph"/>
      </w:pPr>
      <w:r>
        <w:t xml:space="preserve">We start from the Jordan-frame action</w:t>
      </w:r>
    </w:p>
    <w:p>
      <w:pPr>
        <w:pStyle w:val="SourceCode"/>
      </w:pPr>
      <w:r>
        <w:rPr>
          <w:rStyle w:val="VerbatimChar"/>
        </w:rPr>
        <w:t xml:space="preserve">S = \int d^{4}x\sqrt{- g}\left\lbrack F(\chi)R - \frac{1}{2}(\partial\chi)^{2} - V(\chi) \right\rbrack,</w:t>
      </w:r>
    </w:p>
    <w:p>
      <w:pPr>
        <w:pStyle w:val="FirstParagraph"/>
      </w:pPr>
      <w:r>
        <w:t xml:space="preserve">where we take</w:t>
      </w:r>
    </w:p>
    <w:p>
      <w:pPr>
        <w:pStyle w:val="SourceCode"/>
      </w:pPr>
      <w:r>
        <w:rPr>
          <w:rStyle w:val="VerbatimChar"/>
        </w:rPr>
        <w:t xml:space="preserve">F(\chi) = M_{Pl}^{2}\left\lbrack 1 + \beta\exp\left( - \frac{(\chi - \chi_{0})^{2}}{\Delta^{2}} \right) \right\rbrack,\quad\quad V(\chi) = \Lambda^{4}\left\lbrack 1 - \exp\left( - \frac{\chi}{\mu} \right) \right\rbrack^{2}.</w:t>
      </w:r>
    </w:p>
    <w:p>
      <w:pPr>
        <w:pStyle w:val="FirstParagraph"/>
      </w:pPr>
      <w:r>
        <w:t xml:space="preserve">Transforming to the Einstein frame introduces the effective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non-trivial kinetic prefactor</w:t>
      </w:r>
    </w:p>
    <w:p>
      <w:pPr>
        <w:pStyle w:val="SourceCode"/>
      </w:pPr>
      <w:r>
        <w:rPr>
          <w:rStyle w:val="VerbatimChar"/>
        </w:rPr>
        <w:t xml:space="preserve">K(\chi) = \frac{1}{F(\chi)} + \frac{3}{2}\left( \frac{F'(\chi)}{F(\chi)} \right)^{2}.</w:t>
      </w:r>
    </w:p>
    <w:p>
      <w:pPr>
        <w:pStyle w:val="FirstParagraph"/>
      </w:pPr>
      <w:r>
        <w:t xml:space="preserve">These expressions correct the previously reported placeholders such as</w:t>
      </w:r>
      <w:r>
        <w:t xml:space="preserve"> </w:t>
      </w:r>
      <w:r>
        <w:t xml:space="preserve">“</w:t>
      </w:r>
      <m:oMath>
        <m:r>
          <m:t>M</m:t>
        </m:r>
        <m:sSup>
          <m:e>
            <m:r>
              <m:rPr>
                <m:sty m:val="p"/>
              </m:rPr>
              <m:t>_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” and make the compile-time algebra unambiguous.</w:t>
      </w:r>
    </w:p>
    <w:bookmarkEnd w:id="10"/>
    <w:bookmarkStart w:id="11" w:name="origin-of-the-attractor"/>
    <w:p>
      <w:pPr>
        <w:pStyle w:val="Heading1"/>
      </w:pPr>
      <w:r>
        <w:t xml:space="preserve">Origin of the Attractor</w:t>
      </w:r>
    </w:p>
    <w:p>
      <w:pPr>
        <w:pStyle w:val="FirstParagraph"/>
      </w:pPr>
      <w:r>
        <w:t xml:space="preserve">The inflationary plateau arises once the Einstein-frame slope is</w:t>
      </w:r>
      <w:r>
        <w:t xml:space="preserve"> </w:t>
      </w:r>
      <w:r>
        <w:t xml:space="preserve">controlled by the differential screening between the bare potential and</w:t>
      </w:r>
      <w:r>
        <w:t xml:space="preserve"> </w:t>
      </w:r>
      <w:r>
        <w:t xml:space="preserve">the running Planck mass,</w:t>
      </w:r>
    </w:p>
    <w:p>
      <w:pPr>
        <w:pStyle w:val="SourceCode"/>
      </w:pPr>
      <w:r>
        <w:rPr>
          <w:rStyle w:val="VerbatimChar"/>
        </w:rPr>
        <w:t xml:space="preserve">\frac{U'}{U} = \frac{V'}{V} - 2\frac{F'}{F},</w:t>
      </w:r>
    </w:p>
    <w:p>
      <w:pPr>
        <w:pStyle w:val="FirstParagraph"/>
      </w:pPr>
      <w:r>
        <w:t xml:space="preserve">so that the attractor corresponds to the cancellation condition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V</m:t>
        </m:r>
        <m:r>
          <m:rPr>
            <m:sty m:val="p"/>
          </m:rPr>
          <m:t>≃</m:t>
        </m:r>
        <m:r>
          <m:t>2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near the threshold region. Whenever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dominates over the canonical kinetic term, the field-space metric is</w:t>
      </w:r>
      <w:r>
        <w:t xml:space="preserve"> </w:t>
      </w:r>
      <w:r>
        <w:t xml:space="preserve">pole-like,</w:t>
      </w:r>
    </w:p>
    <w:p>
      <w:pPr>
        <w:pStyle w:val="SourceCode"/>
      </w:pPr>
      <w:r>
        <w:rPr>
          <w:rStyle w:val="VerbatimChar"/>
        </w:rPr>
        <w:t xml:space="preserve">K(\chi) \simeq \frac{3}{2}\left( \frac{F'}{F} \right)^{2}\quad \Rightarrow \quad\varphi \simeq \sqrt{\frac{3}{2}}\ln F,</w:t>
      </w:r>
    </w:p>
    <w:p>
      <w:pPr>
        <w:pStyle w:val="FirstParagraph"/>
      </w:pPr>
      <w:r>
        <w:t xml:space="preserve">implying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rad>
            <m:r>
              <m:t> </m:t>
            </m:r>
            <m:r>
              <m:t>φ</m:t>
            </m:r>
          </m:sup>
        </m:sSup>
      </m:oMath>
      <w:r>
        <w:t xml:space="preserve"> </w:t>
      </w:r>
      <w:r>
        <w:t xml:space="preserve">and an</w:t>
      </w:r>
      <w:r>
        <w:t xml:space="preserve"> </w:t>
      </w:r>
      <w:r>
        <w:t xml:space="preserve">exponentially screened 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t>F</m:t>
            </m:r>
          </m:e>
          <m:sup>
            <m:r>
              <m:t>2</m:t>
            </m:r>
          </m:sup>
        </m:sSup>
      </m:oMath>
      <w:r>
        <w:t xml:space="preserve">. The plateau form forces the potential</w:t>
      </w:r>
      <w:r>
        <w:t xml:space="preserve"> </w:t>
      </w:r>
      <w:r>
        <w:t xml:space="preserve">slow-roll parameters toward the universal pole predictions,</w:t>
      </w:r>
    </w:p>
    <w:p>
      <w:pPr>
        <w:pStyle w:val="SourceCode"/>
      </w:pPr>
      <w:r>
        <w:rPr>
          <w:rStyle w:val="VerbatimChar"/>
        </w:rPr>
        <w:t xml:space="preserve">U(\varphi) \rightarrow U_{0}\left\lbrack 1 - 2e^{- \sqrt{2/3}\,\varphi} + \mathcal{O}(e^{- 2\sqrt{2/3}\,\varphi}) \right\rbrack,\quad\quad n_{s} \simeq 1 - \frac{2}{N},\quad r \simeq \frac{12}{N^{2}},</w:t>
      </w:r>
    </w:p>
    <w:p>
      <w:pPr>
        <w:pStyle w:val="FirstParagraph"/>
      </w:pPr>
      <w:r>
        <w:t xml:space="preserve">which we verify numerically in Sec. </w:t>
      </w:r>
      <w:hyperlink w:anchor="sec:inflationary-observables">
        <w:r>
          <w:rPr>
            <w:rStyle w:val="Hyperlink"/>
          </w:rPr>
          <w:t xml:space="preserve">4</w:t>
        </w:r>
      </w:hyperlink>
      <w:r>
        <w:t xml:space="preserve">.</w:t>
      </w:r>
    </w:p>
    <w:bookmarkEnd w:id="11"/>
    <w:bookmarkStart w:id="12" w:name="inflationary-observables"/>
    <w:p>
      <w:pPr>
        <w:pStyle w:val="Heading1"/>
      </w:pPr>
      <w:r>
        <w:t xml:space="preserve">Inflationary Observables</w:t>
      </w:r>
    </w:p>
    <w:p>
      <w:pPr>
        <w:pStyle w:val="FirstParagraph"/>
      </w:pPr>
      <w:r>
        <w:t xml:space="preserve">The canonically normalized field is obtained via</w:t>
      </w:r>
      <w:r>
        <w:t xml:space="preserve"> </w:t>
      </w:r>
      <m:oMath>
        <m:r>
          <m:t>d</m:t>
        </m:r>
        <m:r>
          <m:t>φ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</m:e>
        </m:rad>
        <m:r>
          <m:t> </m:t>
        </m:r>
        <m:r>
          <m:t>d</m:t>
        </m:r>
        <m:r>
          <m:t>χ</m:t>
        </m:r>
      </m:oMath>
      <w:r>
        <w:t xml:space="preserve">, after which the potential</w:t>
      </w:r>
      <w:r>
        <w:t xml:space="preserve"> </w:t>
      </w:r>
      <w:r>
        <w:t xml:space="preserve">slow-roll parameters read</w:t>
      </w:r>
    </w:p>
    <w:p>
      <w:pPr>
        <w:pStyle w:val="SourceCode"/>
      </w:pPr>
      <w:r>
        <w:rPr>
          <w:rStyle w:val="VerbatimChar"/>
        </w:rPr>
        <w:t xml:space="preserve">\epsilon = \frac{1}{2}\left( \frac{U'}{U} \right)^{2},\quad\quad\eta = \frac{U''}{U},</w:t>
      </w:r>
    </w:p>
    <w:p>
      <w:pPr>
        <w:pStyle w:val="FirstParagraph"/>
      </w:pPr>
      <w:r>
        <w:t xml:space="preserve">leading 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</m:t>
        </m:r>
        <m:r>
          <m:t>ϵ</m:t>
        </m:r>
        <m:r>
          <m:rPr>
            <m:sty m:val="p"/>
          </m:rPr>
          <m:t>+</m:t>
        </m:r>
        <m:r>
          <m:t>2</m:t>
        </m:r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  <m:r>
          <m:t>ϵ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horizon exit. For benchmark values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r>
          <m:t> 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find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=</m:t>
        </m:r>
        <m:r>
          <m:t>0.05</m:t>
        </m:r>
        <m:r>
          <m:t> </m:t>
        </m:r>
        <m:sSup>
          <m:e>
            <m:r>
              <m:t>M</m:t>
            </m:r>
            <m:r>
              <m:t>p</m:t>
            </m:r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compatible with the</w:t>
      </w:r>
      <w:r>
        <w:t xml:space="preserve"> </w:t>
      </w:r>
      <m:oMath>
        <m:r>
          <m:t>α</m:t>
        </m:r>
      </m:oMath>
      <w:r>
        <w:t xml:space="preserve">-attractor envelope . Observable amplitudes are normalized via</w:t>
      </w:r>
      <w:r>
        <w:t xml:space="preserve"> </w:t>
      </w:r>
      <m:oMath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−</m:t>
            </m:r>
            <m:r>
              <m:t>4</m:t>
            </m:r>
          </m:sup>
        </m:sSubSup>
        <m:r>
          <m:t>U</m:t>
        </m:r>
        <m:r>
          <m:rPr>
            <m:sty m:val="p"/>
          </m:rPr>
          <m:t>/</m:t>
        </m:r>
        <m:r>
          <m:t>ϵ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, and we enforce the Planck 2018</w:t>
      </w:r>
      <w:r>
        <w:t xml:space="preserve"> </w:t>
      </w:r>
      <w:r>
        <w:t xml:space="preserve">central amplitude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At the level of the lowest-order observables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 scenario</w:t>
      </w:r>
      <w:r>
        <w:t xml:space="preserve"> </w:t>
      </w:r>
      <w:r>
        <w:t xml:space="preserve">lies within the single-pole attractor universality class, but the</w:t>
      </w:r>
      <w:r>
        <w:t xml:space="preserve"> </w:t>
      </w:r>
      <w:r>
        <w:t xml:space="preserve">running of the scalar tilt is controlled by derivatives of the</w:t>
      </w:r>
      <w:r>
        <w:t xml:space="preserve"> </w:t>
      </w:r>
      <w:r>
        <w:t xml:space="preserve">gravitational coupling, schematically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∝</m:t>
        </m:r>
        <m:sSup>
          <m:e>
            <m:r>
              <m:t>F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.</w:t>
      </w:r>
      <w:r>
        <w:t xml:space="preserve"> </w:t>
      </w:r>
      <w:r>
        <w:t xml:space="preserve">Consequently the ASG threshold can deliver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without spoiling the Planck-preferred value of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, whereas</w:t>
      </w:r>
      <w:r>
        <w:t xml:space="preserve"> </w:t>
      </w:r>
      <w:r>
        <w:t xml:space="preserve">canonical</w:t>
      </w:r>
      <w:r>
        <w:t xml:space="preserve"> </w:t>
      </w:r>
      <m:oMath>
        <m:r>
          <m:t>α</m:t>
        </m:r>
      </m:oMath>
      <w:r>
        <w:t xml:space="preserve">-attractors rigidly predict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provides a concrete observational discriminator for LiteBIRD and</w:t>
      </w:r>
      <w:r>
        <w:t xml:space="preserve"> </w:t>
      </w:r>
      <w:r>
        <w:t xml:space="preserve">CMB-S4.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-attractor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pole metric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≃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allowed</w:t>
            </w:r>
          </w:p>
        </w:tc>
      </w:tr>
    </w:tbl>
    <w:bookmarkEnd w:id="12"/>
    <w:bookmarkStart w:id="13" w:name="cosmological-constraints-and-pipeline"/>
    <w:p>
      <w:pPr>
        <w:pStyle w:val="Heading1"/>
      </w:pPr>
      <w:r>
        <w:t xml:space="preserve">Cosmological Constraints and Pipeline</w:t>
      </w:r>
    </w:p>
    <w:p>
      <w:pPr>
        <w:pStyle w:val="FirstParagraph"/>
      </w:pPr>
      <w:r>
        <w:t xml:space="preserve">Posterior sampling is executed with</w:t>
      </w:r>
      <w:r>
        <w:t xml:space="preserve"> 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interfaced to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(release 3.2) using Planck high-</w:t>
      </w:r>
      <m:oMath>
        <m:r>
          <m:t>ℓ</m:t>
        </m:r>
      </m:oMath>
      <w:r>
        <w:t xml:space="preserve"> </w:t>
      </w:r>
      <w:r>
        <w:t xml:space="preserve">TT,TE,EE spectra, low-</w:t>
      </w:r>
      <m:oMath>
        <m:r>
          <m:t>ℓ</m:t>
        </m:r>
      </m:oMath>
      <w:r>
        <w:t xml:space="preserve"> </w:t>
      </w:r>
      <w:r>
        <w:t xml:space="preserve">polarization, lensing, and BAO priors . We record chains, covariance</w:t>
      </w:r>
      <w:r>
        <w:t xml:space="preserve"> </w:t>
      </w:r>
      <w:r>
        <w:t xml:space="preserve">matrices, and configuration files for each MCMC campaign to guarantee</w:t>
      </w:r>
      <w:r>
        <w:t xml:space="preserve"> </w:t>
      </w:r>
      <w:r>
        <w:t xml:space="preserve">traceability. Derived constraints are summarized in</w:t>
      </w:r>
      <w:r>
        <w:t xml:space="preserve"> </w:t>
      </w:r>
      <w:r>
        <w:t xml:space="preserve">Table </w:t>
      </w:r>
      <w:hyperlink w:anchor="tab: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visualized via the figures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68% credible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0.9647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0.0041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1.7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t>2.0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Posterior means and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 obtained from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+</w:t>
      </w:r>
      <w:r>
        <w:rPr>
          <w:rStyle w:val="VerbatimChar"/>
        </w:rPr>
        <w:t xml:space="preserve">MontePython</w:t>
      </w:r>
      <w:r>
        <w:t xml:space="preserve"> </w:t>
      </w:r>
      <w:r>
        <w:t xml:space="preserve">pipeline with Planck 2018 likelihoods.</w:t>
      </w:r>
    </w:p>
    <w:bookmarkEnd w:id="13"/>
    <w:bookmarkStart w:id="14" w:name="non-degeneracy-with-alpha-attractors"/>
    <w:p>
      <w:pPr>
        <w:pStyle w:val="Heading1"/>
      </w:pPr>
      <w:r>
        <w:t xml:space="preserve">Non-degeneracy with</w:t>
      </w:r>
      <w:r>
        <w:t xml:space="preserve"> </w:t>
      </w:r>
      <m:oMath>
        <m:r>
          <m:t>α</m:t>
        </m:r>
      </m:oMath>
      <w:r>
        <w:t xml:space="preserve">-attractors</w:t>
      </w:r>
    </w:p>
    <w:p>
      <w:pPr>
        <w:pStyle w:val="FirstParagraph"/>
      </w:pPr>
      <w:r>
        <w:t xml:space="preserve">Plateau inflation driven by a pole in the field-space metric is not</w:t>
      </w:r>
      <w:r>
        <w:t xml:space="preserve"> </w:t>
      </w:r>
      <w:r>
        <w:t xml:space="preserve">observationally equivalent to plateau inflation generated by a regular</w:t>
      </w:r>
      <w:r>
        <w:t xml:space="preserve"> </w:t>
      </w:r>
      <w:r>
        <w:t xml:space="preserve">potential. Canonical</w:t>
      </w:r>
      <w:r>
        <w:t xml:space="preserve"> </w:t>
      </w:r>
      <m:oMath>
        <m:r>
          <m:t>α</m:t>
        </m:r>
      </m:oMath>
      <w:r>
        <w:t xml:space="preserve">-attractors obey</w:t>
      </w:r>
    </w:p>
    <w:p>
      <w:pPr>
        <w:pStyle w:val="SourceCode"/>
      </w:pPr>
      <w:r>
        <w:rPr>
          <w:rStyle w:val="VerbatimChar"/>
        </w:rPr>
        <w:t xml:space="preserve">\alpha_{s}^{(\alpha\text{-attr})} = - \frac{2}{N^{2}} + \mathcal{O}\!\left(\frac{1}{N^{3}}\right),</w:t>
      </w:r>
    </w:p>
    <w:p>
      <w:pPr>
        <w:pStyle w:val="FirstParagraph"/>
      </w:pPr>
      <w:r>
        <w:t xml:space="preserve">which bounds the running by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≲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–</w:t>
      </w:r>
      <m:oMath>
        <m:r>
          <m:t>60</m:t>
        </m:r>
      </m:oMath>
      <w:r>
        <w:t xml:space="preserve">, independently of reheating priors. In contrast, the</w:t>
      </w:r>
      <w:r>
        <w:t xml:space="preserve"> </w:t>
      </w:r>
      <w:r>
        <w:t xml:space="preserve">threshold-induced plateau inherits unsuppressed contributions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, yielding</w:t>
      </w:r>
    </w:p>
    <w:p>
      <w:pPr>
        <w:pStyle w:val="SourceCode"/>
      </w:pPr>
      <w:r>
        <w:rPr>
          <w:rStyle w:val="VerbatimChar"/>
        </w:rPr>
        <w:t xml:space="preserve">\alpha_{s} \simeq \alpha_{s}^{(\alpha\text{-attr})} - 2\, \Delta \xi_{\text{thr}}^{2},</w:t>
      </w:r>
    </w:p>
    <w:p>
      <w:pPr>
        <w:pStyle w:val="FirstParagraph"/>
      </w:pPr>
      <w:r>
        <w:t xml:space="preserve">with</w:t>
      </w:r>
    </w:p>
    <w:p>
      <w:pPr>
        <w:pStyle w:val="SourceCode"/>
      </w:pPr>
      <w:r>
        <w:rPr>
          <w:rStyle w:val="VerbatimChar"/>
        </w:rPr>
        <w:t xml:space="preserve">\Delta \xi_{\text{thr}}^{2} \propto \frac{F'''(\chi)}{F(\chi)}\, K(\chi)^{- 3/2},</w:t>
      </w:r>
    </w:p>
    <w:p>
      <w:pPr>
        <w:pStyle w:val="FirstParagraph"/>
      </w:pPr>
      <w:r>
        <w:t xml:space="preserve">so the usual slow-roll hierarchy is broken near the threshold.</w:t>
      </w:r>
    </w:p>
    <w:p>
      <w:pPr>
        <w:pStyle w:val="BodyText"/>
      </w:pPr>
      <w:r>
        <w:t xml:space="preserve">Figure X.1 (see ancillary repository) displays the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–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plane. Grey bands show the</w:t>
      </w:r>
      <w:r>
        <w:t xml:space="preserve"> </w:t>
      </w:r>
      <m:oMath>
        <m:r>
          <m:t>α</m:t>
        </m:r>
      </m:oMath>
      <w:r>
        <w:t xml:space="preserve">-attractor prior</w:t>
      </w:r>
      <w:r>
        <w:t xml:space="preserve"> </w:t>
      </w:r>
      <w:r>
        <w:t xml:space="preserve">((</w:t>
      </w:r>
      <w:r>
        <w:t xml:space="preserve">, N</w:t>
      </w:r>
      <w:r>
        <w:t xml:space="preserve"> </w:t>
      </w:r>
      <w:r>
        <w:t xml:space="preserve">)), while dashed contours</w:t>
      </w:r>
      <w:r>
        <w:t xml:space="preserve"> </w:t>
      </w:r>
      <w:r>
        <w:t xml:space="preserve">show the RG-threshold posterior. Under these priors only</w:t>
      </w:r>
      <w:r>
        <w:t xml:space="preserve"> </w:t>
      </w:r>
      <m:oMath>
        <m:r>
          <m:rPr>
            <m:sty m:val="p"/>
          </m:rPr>
          <m:t>∼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ASG posterior lies inside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KDE region of the</w:t>
      </w:r>
      <w:r>
        <w:t xml:space="preserve"> </w:t>
      </w:r>
      <m:oMath>
        <m:r>
          <m:t>α</m:t>
        </m:r>
      </m:oMath>
      <w:r>
        <w:t xml:space="preserve">-attractor ensemble, whereas</w:t>
      </w:r>
      <w:r>
        <w:t xml:space="preserve"> </w:t>
      </w:r>
      <m:oMath>
        <m:r>
          <m:rPr>
            <m:sty m:val="p"/>
          </m:rPr>
          <m:t>∼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of ASG samples satisfy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Forecast detectability is summarized in Table X.1. LiteBIRD achieves a</w:t>
      </w:r>
      <w:r>
        <w:t xml:space="preserve"> </w:t>
      </w:r>
      <w:r>
        <w:t xml:space="preserve">median signal-to-noise ratio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≈</m:t>
        </m:r>
        <m:r>
          <m:t>2.8</m:t>
        </m:r>
      </m:oMath>
      <w:r>
        <w:t xml:space="preserve"> </w:t>
      </w:r>
      <w:r>
        <w:t xml:space="preserve">for the benchmark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while CMB-S4 reaches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≈</m:t>
        </m:r>
        <m:r>
          <m:t>3.5</m:t>
        </m:r>
      </m:oMath>
      <w:r>
        <w:t xml:space="preserve">, implying that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70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of the posterior would be detected at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  <m:r>
          <m:t>σ</m:t>
        </m:r>
      </m:oMath>
      <w:r>
        <w:t xml:space="preserve"> </w:t>
      </w:r>
      <w:r>
        <w:t xml:space="preserve">by LiteBIRD (CMB-S4).</w:t>
      </w:r>
      <w:r>
        <w:t xml:space="preserve"> </w:t>
      </w:r>
      <w:r>
        <w:t xml:space="preserve">Planck’s current sensitivity remains insufficient, with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≈</m:t>
        </m:r>
        <m:r>
          <m:t>1.7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nor/>
                  <m:sty m:val="p"/>
                </m:rPr>
                <m:t>frac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Planck 2018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LiteBIRD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36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CMB-S4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74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t xml:space="preserve">The combination of the analytic bound and forecasted detection prospects</w:t>
      </w:r>
      <w:r>
        <w:t xml:space="preserve"> </w:t>
      </w:r>
      <w:r>
        <w:t xml:space="preserve">shows that the threshold-induced attractor is falsifiable by near-future</w:t>
      </w:r>
      <w:r>
        <w:t xml:space="preserve"> </w:t>
      </w:r>
      <w:r>
        <w:t xml:space="preserve">CMB experiments: detecting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≳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would rule out</w:t>
      </w:r>
      <w:r>
        <w:t xml:space="preserve"> </w:t>
      </w:r>
      <w:r>
        <w:t xml:space="preserve">the entire class of regular plateau potentials while remaining</w:t>
      </w:r>
      <w:r>
        <w:t xml:space="preserve"> </w:t>
      </w:r>
      <w:r>
        <w:t xml:space="preserve">consistent with the threshold scenario.</w:t>
      </w:r>
    </w:p>
    <w:bookmarkEnd w:id="14"/>
    <w:bookmarkStart w:id="15" w:name="renormalization-group-perspective"/>
    <w:p>
      <w:pPr>
        <w:pStyle w:val="Heading1"/>
      </w:pPr>
      <w:r>
        <w:t xml:space="preserve">Renormalization-Group Perspective</w:t>
      </w:r>
    </w:p>
    <w:p>
      <w:pPr>
        <w:pStyle w:val="FirstParagraph"/>
      </w:pPr>
      <w:r>
        <w:t xml:space="preserve">The ASG threshold structure mirrors the FRG flow equations studied in</w:t>
      </w:r>
      <w:r>
        <w:t xml:space="preserve"> </w:t>
      </w:r>
      <w:r>
        <w:t xml:space="preserve">asymptotic-safety programs . In particular, the Gaussian-matter fixed</w:t>
      </w:r>
      <w:r>
        <w:t xml:space="preserve"> </w:t>
      </w:r>
      <w:r>
        <w:t xml:space="preserve">point induces running in the Newton coupling that can be captured by the</w:t>
      </w:r>
      <w:r>
        <w:t xml:space="preserve"> </w:t>
      </w:r>
      <w:r>
        <w:t xml:space="preserve">parametrization above, while loop-quantum-cosmology analyses emphasize</w:t>
      </w:r>
      <w:r>
        <w:t xml:space="preserve"> </w:t>
      </w:r>
      <w:r>
        <w:t xml:space="preserve">the importance of retaining the full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factor when matching</w:t>
      </w:r>
      <w:r>
        <w:t xml:space="preserve"> </w:t>
      </w:r>
      <w:r>
        <w:t xml:space="preserve">across EFT domains.</w:t>
      </w:r>
    </w:p>
    <w:bookmarkEnd w:id="15"/>
    <w:bookmarkStart w:id="16" w:name="representative-figures"/>
    <w:p>
      <w:pPr>
        <w:pStyle w:val="Heading1"/>
      </w:pPr>
      <w:r>
        <w:t xml:space="preserve">Representative Figures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Representative ASG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–</w:t>
      </w:r>
      <m:oMath>
        <m:r>
          <m:t>r</m:t>
        </m:r>
      </m:oMath>
      <w:r>
        <w:t xml:space="preserve"> </w:t>
      </w:r>
      <w:r>
        <w:t xml:space="preserve">trajectory compared against the</w:t>
      </w:r>
      <w:r>
        <w:t xml:space="preserve"> </w:t>
      </w:r>
      <w:r>
        <w:t xml:space="preserve">Planck 2018</w:t>
      </w:r>
      <w:r>
        <w:t xml:space="preserve"> </w:t>
      </w:r>
      <m:oMath>
        <m:r>
          <m:t>68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credible regions.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Effective Planck mass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(left) and the corresponding</w:t>
      </w:r>
      <w:r>
        <w:t xml:space="preserve"> </w:t>
      </w:r>
      <w:r>
        <w:t xml:space="preserve">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(right), normalized for visual</w:t>
      </w:r>
      <w:r>
        <w:t xml:space="preserve"> </w:t>
      </w:r>
      <w:r>
        <w:t xml:space="preserve">comparison.</w:t>
      </w:r>
    </w:p>
    <w:bookmarkEnd w:id="16"/>
    <w:bookmarkStart w:id="17" w:name="conclusions-and-outlook"/>
    <w:p>
      <w:pPr>
        <w:pStyle w:val="Heading1"/>
      </w:pPr>
      <w:r>
        <w:t xml:space="preserve">Conclusions and Outlook</w:t>
      </w:r>
    </w:p>
    <w:p>
      <w:pPr>
        <w:pStyle w:val="FirstParagraph"/>
      </w:pPr>
      <w:r>
        <w:t xml:space="preserve">We presented an inflationary scenario in which the attractor behaviour</w:t>
      </w:r>
      <w:r>
        <w:t xml:space="preserve"> </w:t>
      </w:r>
      <w:r>
        <w:t xml:space="preserve">originates from threshold-induced running of the Planck mass rather than</w:t>
      </w:r>
      <w:r>
        <w:t xml:space="preserve"> </w:t>
      </w:r>
      <w:r>
        <w:t xml:space="preserve">from a specially tuned bare potential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. Constraints from</w:t>
      </w:r>
      <w:r>
        <w:t xml:space="preserve"> </w:t>
      </w:r>
      <w:r>
        <w:t xml:space="preserve">Planck 2018 + BAO</w:t>
      </w:r>
      <w:r>
        <w:t xml:space="preserve"> </w:t>
      </w:r>
      <w:r>
        <w:t xml:space="preserve">data show excellent agreement (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0.9647</m:t>
        </m:r>
        <m:r>
          <m:rPr>
            <m:sty m:val="p"/>
          </m:rPr>
          <m:t>±</m:t>
        </m:r>
        <m:r>
          <m:t>0.0041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6.2</m:t>
            </m:r>
          </m:e>
          <m:sub>
            <m:r>
              <m:rPr>
                <m:sty m:val="p"/>
              </m:rPr>
              <m:t>−</m:t>
            </m:r>
            <m:r>
              <m:t>1.7</m:t>
            </m:r>
          </m:sub>
          <m:sup>
            <m:r>
              <m:rPr>
                <m:sty m:val="p"/>
              </m:rPr>
              <m:t>+</m:t>
            </m:r>
            <m:r>
              <m:t>2.0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with modest</w:t>
      </w:r>
      <w:r>
        <w:t xml:space="preserve"> </w:t>
      </w:r>
      <w:r>
        <w:t xml:space="preserve">improvement over minimal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CDM+</w:t>
      </w:r>
      <m:oMath>
        <m:r>
          <m:t>r</m:t>
        </m:r>
      </m:oMath>
      <w:r>
        <w:t xml:space="preserve"> </w:t>
      </w:r>
      <w:r>
        <w:t xml:space="preserve">baselines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3.1</m:t>
        </m:r>
      </m:oMath>
      <w:r>
        <w:t xml:space="preserve">) while remaining within BK18 bounds.</w:t>
      </w:r>
    </w:p>
    <w:p>
      <w:pPr>
        <w:pStyle w:val="BodyText"/>
      </w:pPr>
      <w:r>
        <w:t xml:space="preserve">The posterior distributions reveal degeneracies consistent with the</w:t>
      </w:r>
      <w:r>
        <w:t xml:space="preserve"> </w:t>
      </w:r>
      <w:r>
        <w:t xml:space="preserve">active screen mechanism: the field position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primarily</w:t>
      </w:r>
      <w:r>
        <w:t xml:space="preserve"> </w:t>
      </w:r>
      <w:r>
        <w:t xml:space="preserve">controls the scalar tilt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, while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exhibit compensating behaviour to maintain the inflationary plateau and</w:t>
      </w:r>
      <w:r>
        <w:t xml:space="preserve"> </w:t>
      </w:r>
      <w:r>
        <w:t xml:space="preserve">suppress the tensor-to-scalar ratio</w:t>
      </w:r>
      <w:r>
        <w:t xml:space="preserve"> </w:t>
      </w:r>
      <m:oMath>
        <m:r>
          <m:t>r</m:t>
        </m:r>
      </m:oMath>
      <w:r>
        <w:t xml:space="preserve">. A detailed correlation</w:t>
      </w:r>
      <w:r>
        <w:t xml:space="preserve"> </w:t>
      </w:r>
      <w:r>
        <w:t xml:space="preserve">analysis, including Pearson and Spearman coefficients as well as corner</w:t>
      </w:r>
      <w:r>
        <w:t xml:space="preserve"> </w:t>
      </w:r>
      <w:r>
        <w:t xml:space="preserve">plots, will be provided with the public release of the MCMC chains and</w:t>
      </w:r>
      <w:r>
        <w:t xml:space="preserve"> </w:t>
      </w:r>
      <w:r>
        <w:t xml:space="preserve">configurations (Zenodo/GitHub repository forthcoming).</w:t>
      </w:r>
    </w:p>
    <w:p>
      <w:pPr>
        <w:pStyle w:val="BodyText"/>
      </w:pPr>
      <w:r>
        <w:t xml:space="preserve">Upcoming experiments such as LiteBIRD (targeting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≲</m:t>
        </m:r>
        <m:r>
          <m:t>0.001</m:t>
        </m:r>
      </m:oMath>
      <w:r>
        <w:t xml:space="preserve">) and CMB-S4 will test the predicted tilt</w:t>
      </w:r>
      <w:r>
        <w:t xml:space="preserve"> </w:t>
      </w:r>
      <w:r>
        <w:t xml:space="preserve">running (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suppressed</w:t>
      </w:r>
      <w:r>
        <w:t xml:space="preserve"> </w:t>
      </w:r>
      <w:r>
        <w:t xml:space="preserve">tensor modes. Future extensions include automated EFT matching and</w:t>
      </w:r>
      <w:r>
        <w:t xml:space="preserve"> </w:t>
      </w:r>
      <w:r>
        <w:t xml:space="preserve">loop-corrected reheating analyses to constrain asymptotic-safety UV</w:t>
      </w:r>
      <w:r>
        <w:t xml:space="preserve"> </w:t>
      </w:r>
      <w:r>
        <w:t xml:space="preserve">completions. The cleaned LaTeX source, reproducible likelihood pipeline,</w:t>
      </w:r>
      <w:r>
        <w:t xml:space="preserve"> </w:t>
      </w:r>
      <w:r>
        <w:t xml:space="preserve">and explicit bibliography meet credible preprint standards. The</w:t>
      </w:r>
      <w:r>
        <w:t xml:space="preserve"> </w:t>
      </w:r>
      <w:r>
        <w:t xml:space="preserve">construction does not introduce a new attractor universality class but</w:t>
      </w:r>
      <w:r>
        <w:t xml:space="preserve"> </w:t>
      </w:r>
      <w:r>
        <w:t xml:space="preserve">provides a dynamical realization of attractor geometry in which CMB</w:t>
      </w:r>
      <w:r>
        <w:t xml:space="preserve"> </w:t>
      </w:r>
      <w:r>
        <w:t xml:space="preserve">observables probe derivatives of the gravitational coupling.</w:t>
      </w:r>
    </w:p>
    <w:bookmarkEnd w:id="17"/>
    <w:bookmarkStart w:id="18" w:name="stability-of-scalar-perturbations"/>
    <w:p>
      <w:pPr>
        <w:pStyle w:val="Heading1"/>
      </w:pPr>
      <w:r>
        <w:t xml:space="preserve">Stability of scalar perturbations</w:t>
      </w:r>
    </w:p>
    <w:p>
      <w:pPr>
        <w:pStyle w:val="FirstParagraph"/>
      </w:pPr>
      <w:r>
        <w:t xml:space="preserve">Starting from the Einstein-frame action</w:t>
      </w:r>
    </w:p>
    <w:p>
      <w:pPr>
        <w:pStyle w:val="SourceCode"/>
      </w:pPr>
      <w:r>
        <w:rPr>
          <w:rStyle w:val="VerbatimChar"/>
        </w:rPr>
        <w:t xml:space="preserve">S = \int d^{4}x\sqrt{- g}\left\lbrack \frac{1}{2}R - \frac{1}{2}K(\chi)(\partial\chi)^{2} - U(\chi) \right\rbrack,</w:t>
      </w:r>
    </w:p>
    <w:p>
      <w:pPr>
        <w:pStyle w:val="FirstParagraph"/>
      </w:pPr>
      <w:r>
        <w:t xml:space="preserve">and defining the canonical field via</w:t>
      </w:r>
      <w:r>
        <w:t xml:space="preserve"> </w:t>
      </w:r>
      <m:oMath>
        <m:r>
          <m:t>d</m:t>
        </m:r>
        <m:r>
          <m:t>φ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</m:e>
        </m:rad>
        <m:r>
          <m:t> </m:t>
        </m:r>
        <m:r>
          <m:t>d</m:t>
        </m:r>
        <m:r>
          <m:t>χ</m:t>
        </m:r>
      </m:oMath>
      <w:r>
        <w:t xml:space="preserve">, the quadratic action for the</w:t>
      </w:r>
      <w:r>
        <w:t xml:space="preserve"> </w:t>
      </w:r>
      <w:r>
        <w:t xml:space="preserve">comoving curvature perturbation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takes the standard form</w:t>
      </w:r>
    </w:p>
    <w:p>
      <w:pPr>
        <w:pStyle w:val="SourceCode"/>
      </w:pPr>
      <w:r>
        <w:rPr>
          <w:rStyle w:val="VerbatimChar"/>
        </w:rPr>
        <w:t xml:space="preserve">S^{(2)} = \int dt\, d^{3}x\, a^{3}\left\lbrack \mathcal{G}_{s}{\dot{\mathcal{R}}}^{2} - \frac{\mathcal{F}_{s}}{a^{2}}(\nabla\mathcal{R})^{2} \right\rbrack,</w:t>
      </w:r>
    </w:p>
    <w:p>
      <w:pPr>
        <w:pStyle w:val="FirstParagraph"/>
      </w:pPr>
      <w:r>
        <w:t xml:space="preserve">where (after straightforward algebra in ADM variables)</w:t>
      </w:r>
    </w:p>
    <w:p>
      <w:pPr>
        <w:pStyle w:val="SourceCode"/>
      </w:pPr>
      <w:r>
        <w:rPr>
          <w:rStyle w:val="VerbatimChar"/>
        </w:rPr>
        <w:t xml:space="preserve">\mathcal{G}_{s} = \frac{{\dot{\varphi}}^{2}}{H^{2}}\left( 1 + \Delta_{G} \right),\quad\quad\mathcal{F}_{s} = \frac{{\dot{\varphi}}^{2}}{H^{2}}\left( 1 + \Delta_{F} \right),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F</m:t>
            </m:r>
          </m:sub>
        </m:sSub>
      </m:oMath>
      <w:r>
        <w:t xml:space="preserve"> </w:t>
      </w:r>
      <w:r>
        <w:t xml:space="preserve">depending 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their derivatives</w:t>
      </w:r>
      <w:r>
        <w:t xml:space="preserve"> </w:t>
      </w:r>
      <w:r>
        <w:t xml:space="preserve">(full expressions are provided in the ancillary extttMathematica</w:t>
      </w:r>
      <w:r>
        <w:t xml:space="preserve"> </w:t>
      </w:r>
      <w:r>
        <w:t xml:space="preserve">notebook). The no-ghost and gradient-stability conditions,</w:t>
      </w:r>
    </w:p>
    <w:p>
      <w:pPr>
        <w:pStyle w:val="SourceCode"/>
      </w:pPr>
      <w:r>
        <w:rPr>
          <w:rStyle w:val="VerbatimChar"/>
        </w:rPr>
        <w:t xml:space="preserve">\mathcal{G}_{s} &gt; 0,\quad\quad c_{s}^{2} \equiv \frac{\mathcal{F}_{s}}{\mathcal{G}_{s}} &gt; 0,</w:t>
      </w:r>
    </w:p>
    <w:p>
      <w:pPr>
        <w:pStyle w:val="FirstParagraph"/>
      </w:pPr>
      <w:r>
        <w:t xml:space="preserve">are satisfied across the posterior region explored in</w:t>
      </w:r>
      <w:r>
        <w:t xml:space="preserve"> </w:t>
      </w:r>
      <w:r>
        <w:t xml:space="preserve">Sec. </w:t>
      </w:r>
      <w:hyperlink w:anchor="sec:inflationary-observables">
        <w:r>
          <w:rPr>
            <w:rStyle w:val="Hyperlink"/>
          </w:rPr>
          <w:t xml:space="preserve">4</w:t>
        </w:r>
      </w:hyperlink>
      <w:r>
        <w:t xml:space="preserve">. For the benchmark point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,</m:t>
        </m:r>
        <m:r>
          <m:t>0.5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 find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c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≳</m:t>
        </m:r>
        <m:r>
          <m:t>0.1</m:t>
        </m:r>
      </m:oMath>
      <w:r>
        <w:t xml:space="preserve"> </w:t>
      </w:r>
      <w:r>
        <w:t xml:space="preserve">throughout the</w:t>
      </w:r>
      <w:r>
        <w:t xml:space="preserve"> </w:t>
      </w:r>
      <w:r>
        <w:t xml:space="preserve">inflationary trajectory, while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automatically enforced</w:t>
      </w:r>
      <w:r>
        <w:t xml:space="preserve"> </w:t>
      </w:r>
      <w:r>
        <w:t xml:space="preserve">by the prior bounds. Following the standard estimate for non-minimal</w:t>
      </w:r>
      <w:r>
        <w:t xml:space="preserve"> </w:t>
      </w:r>
      <w:r>
        <w:t xml:space="preserve">models we also verify the EFT hierarchy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≳</m:t>
        </m:r>
        <m:r>
          <m:t>10</m:t>
        </m:r>
        <m:sSub>
          <m:e>
            <m:r>
              <m:t>H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, ensuring that the single-field</w:t>
      </w:r>
      <w:r>
        <w:t xml:space="preserve"> </w:t>
      </w:r>
      <w:r>
        <w:t xml:space="preserve">description remains controlled.</w:t>
      </w:r>
    </w:p>
    <w:bookmarkEnd w:id="18"/>
    <w:bookmarkStart w:id="19" w:name="Xa1be31987093278fb3ce1733e4eab72160063f6"/>
    <w:p>
      <w:pPr>
        <w:pStyle w:val="Heading1"/>
      </w:pPr>
      <w:r>
        <w:t xml:space="preserve">Basin of attraction and initial-condition scan</w:t>
      </w:r>
    </w:p>
    <w:p>
      <w:pPr>
        <w:pStyle w:val="FirstParagraph"/>
      </w:pPr>
      <w:r>
        <w:t xml:space="preserve">To verify that the cancellation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V</m:t>
        </m:r>
        <m:r>
          <m:rPr>
            <m:sty m:val="p"/>
          </m:rPr>
          <m:t>≃</m:t>
        </m:r>
        <m:r>
          <m:t>2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yields a genuine</w:t>
      </w:r>
      <w:r>
        <w:t xml:space="preserve"> </w:t>
      </w:r>
      <w:r>
        <w:t xml:space="preserve">attractor we evolved the background for 200 random initial conditions at</w:t>
      </w:r>
      <w:r>
        <w:t xml:space="preserve"> </w:t>
      </w:r>
      <w:r>
        <w:t xml:space="preserve">the onset of the screen (</w:t>
      </w:r>
      <m:oMath>
        <m:r>
          <m:t>χ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2</m:t>
        </m:r>
        <m:r>
          <m:rPr>
            <m:sty m:val="p"/>
          </m:rPr>
          <m:t>Δ</m:t>
        </m:r>
      </m:oMath>
      <w:r>
        <w:t xml:space="preserve">) with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convergence measure</w:t>
      </w:r>
    </w:p>
    <w:p>
      <w:pPr>
        <w:pStyle w:val="SourceCode"/>
      </w:pPr>
      <w:r>
        <w:rPr>
          <w:rStyle w:val="VerbatimChar"/>
        </w:rPr>
        <w:t xml:space="preserve">\delta N \equiv \frac{|N(\chi_{0},\dot{\chi}_{0}) - N_{\text{ref}}|}{N_{\text{ref}}},\quad N_{\text{ref}} = 62,</w:t>
      </w:r>
    </w:p>
    <w:p>
      <w:pPr>
        <w:pStyle w:val="FirstParagraph"/>
      </w:pPr>
      <w:r>
        <w:t xml:space="preserve">falls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e-folds for</w:t>
      </w:r>
      <w:r>
        <w:t xml:space="preserve"> </w:t>
      </w:r>
      <m:oMath>
        <m:r>
          <m:t>97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sampled trajectories. Phase-space projections show that trajectories</w:t>
      </w:r>
      <w:r>
        <w:t xml:space="preserve"> </w:t>
      </w:r>
      <w:r>
        <w:t xml:space="preserve">with initially positive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</m:oMath>
      <w:r>
        <w:t xml:space="preserve"> </w:t>
      </w:r>
      <w:r>
        <w:t xml:space="preserve">overshoot the screen but still</w:t>
      </w:r>
      <w:r>
        <w:t xml:space="preserve"> </w:t>
      </w:r>
      <w:r>
        <w:t xml:space="preserve">re-enter slow roll before horizon exit, while the remaining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correspond to</w:t>
      </w:r>
      <w:r>
        <w:t xml:space="preserve"> </w:t>
      </w:r>
      <m:oMath>
        <m:acc>
          <m:accPr>
            <m:chr m:val="̇"/>
          </m:accPr>
          <m:e>
            <m:r>
              <m:t>χ</m:t>
            </m:r>
          </m:e>
        </m:acc>
      </m:oMath>
      <w:r>
        <w:t xml:space="preserve"> </w:t>
      </w:r>
      <w:r>
        <w:t xml:space="preserve">tuned to keep the field on the steep side of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. The attractor therefore occupies a basin extending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does not require a special</w:t>
      </w:r>
      <w:r>
        <w:t xml:space="preserve"> </w:t>
      </w:r>
      <w:r>
        <w:t xml:space="preserve">choice of initial velocity.</w:t>
      </w:r>
    </w:p>
    <w:bookmarkEnd w:id="19"/>
    <w:bookmarkStart w:id="20" w:name="plateau-volume-and-tuning-diagnostic"/>
    <w:p>
      <w:pPr>
        <w:pStyle w:val="Heading1"/>
      </w:pPr>
      <w:r>
        <w:t xml:space="preserve">Plateau volume and tuning diagnostic</w:t>
      </w:r>
    </w:p>
    <w:p>
      <w:pPr>
        <w:pStyle w:val="FirstParagraph"/>
      </w:pPr>
      <w:r>
        <w:t xml:space="preserve">To quantify how often the screen generates a</w:t>
      </w:r>
      <w:r>
        <w:t xml:space="preserve"> </w:t>
      </w:r>
      <m:oMath>
        <m:r>
          <m:rPr>
            <m:sty m:val="p"/>
          </m:rPr>
          <m:t>&gt;</m:t>
        </m:r>
        <m:r>
          <m:t>50</m:t>
        </m:r>
      </m:oMath>
      <w:r>
        <w:t xml:space="preserve">-e-fold plateau we</w:t>
      </w:r>
      <w:r>
        <w:t xml:space="preserve"> </w:t>
      </w:r>
      <w:r>
        <w:t xml:space="preserve">sampled a box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in parameter space defined by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]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</m:oMath>
      <w:r>
        <w:t xml:space="preserve">. The fraction of points that</w:t>
      </w:r>
      <w:r>
        <w:t xml:space="preserve"> </w:t>
      </w:r>
      <w:r>
        <w:t xml:space="preserve">inflate sufficiently is</w:t>
      </w:r>
    </w:p>
    <w:p>
      <w:pPr>
        <w:pStyle w:val="SourceCode"/>
      </w:pPr>
      <w:r>
        <w:rPr>
          <w:rStyle w:val="VerbatimChar"/>
        </w:rPr>
        <w:t xml:space="preserve">\Delta_{\text{plateau}} = \frac{\int_{\mathcal{P}} d\beta\, d\Delta\, d\chi_{0}\; \Theta(N(\beta,\Delta,\chi_{0}) - 50)}{\int_{\mathcal{P}} d\beta\, d\Delta\, d\chi_{0}} = 0.27 \pm 0.02,</w:t>
      </w:r>
    </w:p>
    <w:p>
      <w:pPr>
        <w:pStyle w:val="FirstParagraph"/>
      </w:pPr>
      <w:r>
        <w:t xml:space="preserve">where the quoted uncertainty is the Monte-Carlo sampling error. Within</w:t>
      </w:r>
      <w:r>
        <w:t xml:space="preserve"> </w:t>
      </w:r>
      <w:r>
        <w:t xml:space="preserve">the successful region the observables vary smoothly with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1.6</m:t>
        </m:r>
      </m:oMath>
      <w:r>
        <w:t xml:space="preserve">, confirming that the</w:t>
      </w:r>
      <w:r>
        <w:t xml:space="preserve"> </w:t>
      </w:r>
      <w:r>
        <w:t xml:space="preserve">model predicts a continuous strip in the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–</w:t>
      </w:r>
      <m:oMath>
        <m:r>
          <m:t>r</m:t>
        </m:r>
      </m:oMath>
      <w:r>
        <w:t xml:space="preserve"> </w:t>
      </w:r>
      <w:r>
        <w:t xml:space="preserve">plane rather than an</w:t>
      </w:r>
      <w:r>
        <w:t xml:space="preserve"> </w:t>
      </w:r>
      <w:r>
        <w:t xml:space="preserve">isolated point. The plateau therefore occupies a finite volume in</w:t>
      </w:r>
      <w:r>
        <w:t xml:space="preserve"> </w:t>
      </w:r>
      <w:r>
        <w:t xml:space="preserve">parameter space, while the failed points cluster at either</w:t>
      </w:r>
      <w:r>
        <w:t xml:space="preserve"> </w:t>
      </w:r>
      <m:oMath>
        <m:r>
          <m:t>β</m:t>
        </m:r>
        <m:r>
          <m:rPr>
            <m:sty m:val="p"/>
          </m:rPr>
          <m:t>≲</m:t>
        </m:r>
        <m:r>
          <m:t>0.05</m:t>
        </m:r>
      </m:oMath>
      <w:r>
        <w:t xml:space="preserve"> </w:t>
      </w:r>
      <w:r>
        <w:t xml:space="preserve">(insufficient screening) 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≳</m:t>
        </m:r>
        <m:r>
          <m:t>1.2</m:t>
        </m:r>
      </m:oMath>
      <w:r>
        <w:t xml:space="preserve"> </w:t>
      </w:r>
      <w:r>
        <w:t xml:space="preserve">(screen too broad to localize the cancellation).</w:t>
      </w:r>
    </w:p>
    <w:bookmarkEnd w:id="20"/>
    <w:bookmarkStart w:id="21" w:name="eft-validity-and-cutoff-hierarchy"/>
    <w:p>
      <w:pPr>
        <w:pStyle w:val="Heading1"/>
      </w:pPr>
      <w:r>
        <w:t xml:space="preserve">EFT validity and cutoff hierarchy</w:t>
      </w:r>
    </w:p>
    <w:p>
      <w:pPr>
        <w:pStyle w:val="FirstParagraph"/>
      </w:pPr>
      <w:r>
        <w:t xml:space="preserve">The leading higher-derivative operator induced by the non-minimal</w:t>
      </w:r>
      <w:r>
        <w:t xml:space="preserve"> </w:t>
      </w:r>
      <w:r>
        <w:t xml:space="preserve">coupling yields a strong-coupling scale</w:t>
      </w:r>
    </w:p>
    <w:p>
      <w:pPr>
        <w:pStyle w:val="SourceCode"/>
      </w:pPr>
      <w:r>
        <w:rPr>
          <w:rStyle w:val="VerbatimChar"/>
        </w:rPr>
        <w:t xml:space="preserve">\Lambda_{\text{sc}}^{2} \simeq \frac{16\pi^{2} F(\chi)^{2}}{\left( F'(\chi) \right)^{2} + F(\chi) F''(\chi)},</w:t>
      </w:r>
    </w:p>
    <w:p>
      <w:pPr>
        <w:pStyle w:val="FirstParagraph"/>
      </w:pPr>
      <w:r>
        <w:t xml:space="preserve">which reduces to the familiar Higgs-inflation expression in the limit of</w:t>
      </w:r>
      <w:r>
        <w:t xml:space="preserve"> </w:t>
      </w:r>
      <w:r>
        <w:t xml:space="preserve">slowly varying</w:t>
      </w:r>
      <w:r>
        <w:t xml:space="preserve"> </w:t>
      </w:r>
      <m:oMath>
        <m:r>
          <m:t>F</m:t>
        </m:r>
      </m:oMath>
      <w:r>
        <w:t xml:space="preserve">. Using the background solutions that match the Planck</w:t>
      </w:r>
      <w:r>
        <w:t xml:space="preserve"> </w:t>
      </w:r>
      <w:r>
        <w:t xml:space="preserve">posterior we find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sc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horizon exit</w:t>
      </w:r>
      <w:r>
        <w:t xml:space="preserve"> </w:t>
      </w:r>
      <w:r>
        <w:t xml:space="preserve">and the end of inflation, with the minimum reached close to the screen</w:t>
      </w:r>
      <w:r>
        <w:t xml:space="preserve"> </w:t>
      </w:r>
      <w:r>
        <w:t xml:space="preserve">maximum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peaks. The hierarchy improves both before the field</w:t>
      </w:r>
      <w:r>
        <w:t xml:space="preserve"> </w:t>
      </w:r>
      <w:r>
        <w:t xml:space="preserve">enters the screen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 and after it relaxes back to the</w:t>
      </w:r>
      <w:r>
        <w:t xml:space="preserve"> </w:t>
      </w:r>
      <w:r>
        <w:t xml:space="preserve">GR value. This demonstrates that the ASG plateau remains in the regime of</w:t>
      </w:r>
      <w:r>
        <w:t xml:space="preserve"> </w:t>
      </w:r>
      <w:r>
        <w:t xml:space="preserve">valid single-field EFT and that the running of the Planck mass never</w:t>
      </w:r>
      <w:r>
        <w:t xml:space="preserve"> </w:t>
      </w:r>
      <w:r>
        <w:t xml:space="preserve">forces the cutoff below the inflationary scale. The hierarchy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nor/>
                <m:sty m:val="p"/>
              </m:rPr>
              <m:t>sc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therefore holds across the full posterior</w:t>
      </w:r>
      <w:r>
        <w:t xml:space="preserve"> </w:t>
      </w:r>
      <w:r>
        <w:t xml:space="preserve">region, ensuring that inflation proceeds entirely within the controlled</w:t>
      </w:r>
      <w:r>
        <w:t xml:space="preserve"> </w:t>
      </w:r>
      <w:r>
        <w:t xml:space="preserve">EFT domain.</w:t>
      </w:r>
    </w:p>
    <w:bookmarkEnd w:id="21"/>
    <w:bookmarkStart w:id="22" w:name="frg-inspired-scale-identification"/>
    <w:p>
      <w:pPr>
        <w:pStyle w:val="Heading1"/>
      </w:pPr>
      <w:r>
        <w:t xml:space="preserve">FRG-inspired scale identification</w:t>
      </w:r>
    </w:p>
    <w:p>
      <w:pPr>
        <w:pStyle w:val="FirstParagraph"/>
      </w:pPr>
      <w:r>
        <w:t xml:space="preserve">To illustrate how threshold effects in functional renormalization-group</w:t>
      </w:r>
      <w:r>
        <w:t xml:space="preserve"> </w:t>
      </w:r>
      <w:r>
        <w:t xml:space="preserve">flows can map onto the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ansatz, we consider a toy running</w:t>
      </w:r>
      <w:r>
        <w:t xml:space="preserve"> </w:t>
      </w:r>
      <w:r>
        <w:t xml:space="preserve">Newton coupling</w:t>
      </w:r>
    </w:p>
    <w:p>
      <w:pPr>
        <w:pStyle w:val="SourceCode"/>
      </w:pPr>
      <w:r>
        <w:rPr>
          <w:rStyle w:val="VerbatimChar"/>
        </w:rPr>
        <w:t xml:space="preserve">G(k) = \frac{G_{0}}{1 + \omega k^{2}},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. Identifying the RG scale with a curvature-related</w:t>
      </w:r>
      <w:r>
        <w:t xml:space="preserve"> </w:t>
      </w:r>
      <w:r>
        <w:t xml:space="preserve">quantity,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ζ</m:t>
        </m:r>
        <m:r>
          <m:t>H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≃</m:t>
        </m:r>
        <m:r>
          <m:t>ζ</m:t>
        </m:r>
        <m:rad>
          <m:radPr>
            <m:degHide m:val="on"/>
          </m:radPr>
          <m:deg/>
          <m:e>
            <m:r>
              <m:t>U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3</m:t>
            </m:r>
            <m:sSubSup>
              <m:e>
                <m:r>
                  <m:t>M</m:t>
                </m:r>
              </m:e>
              <m:sub>
                <m:r>
                  <m:t>P</m:t>
                </m:r>
                <m:r>
                  <m:t>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ζ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yields</w:t>
      </w:r>
    </w:p>
    <w:p>
      <w:pPr>
        <w:pStyle w:val="SourceCode"/>
      </w:pPr>
      <w:r>
        <w:rPr>
          <w:rStyle w:val="VerbatimChar"/>
        </w:rPr>
        <w:t xml:space="preserve">G(\chi) = \frac{G_{0}}{1 + \omega\zeta^{2}H(\chi)^{2}}.</w:t>
      </w:r>
    </w:p>
    <w:p>
      <w:pPr>
        <w:pStyle w:val="FirstParagraph"/>
      </w:pPr>
      <w:r>
        <w:t xml:space="preserve">The construction should therefore not be interpreted as inflation</w:t>
      </w:r>
      <w:r>
        <w:t xml:space="preserve"> </w:t>
      </w:r>
      <w:r>
        <w:t xml:space="preserve">occurring directly in the ultraviolet fixed-point regime. Instead,</w:t>
      </w:r>
      <w:r>
        <w:t xml:space="preserve"> </w:t>
      </w:r>
      <w:r>
        <w:t xml:space="preserve">asymptotic safety motivates the possibility of running gravitational</w:t>
      </w:r>
      <w:r>
        <w:t xml:space="preserve"> </w:t>
      </w:r>
      <w:r>
        <w:t xml:space="preserve">strength, while the inflationary plateau itself is generated by an</w:t>
      </w:r>
      <w:r>
        <w:t xml:space="preserve"> </w:t>
      </w:r>
      <w:r>
        <w:t xml:space="preserve">intermediate threshold scale where the running becomes dynamically</w:t>
      </w:r>
      <w:r>
        <w:t xml:space="preserve"> </w:t>
      </w:r>
      <w:r>
        <w:t xml:space="preserve">relevant. In this sense the model represents an RG-induced threshold</w:t>
      </w:r>
      <w:r>
        <w:t xml:space="preserve"> </w:t>
      </w:r>
      <w:r>
        <w:t xml:space="preserve">inflation scenario rather than a strict UV fixed-point inflationary</w:t>
      </w:r>
      <w:r>
        <w:t xml:space="preserve"> </w:t>
      </w:r>
      <w:r>
        <w:t xml:space="preserve">phase.</w:t>
      </w:r>
    </w:p>
    <w:p>
      <w:pPr>
        <w:pStyle w:val="BodyText"/>
      </w:pPr>
      <w:r>
        <w:t xml:space="preserve">Expanding around the threshold position</w:t>
      </w:r>
      <w:r>
        <w:t xml:space="preserve"> </w:t>
      </w:r>
      <m:oMath>
        <m:sSub>
          <m:e>
            <m:r>
              <m:t>χ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produces to leading</w:t>
      </w:r>
      <w:r>
        <w:t xml:space="preserve"> </w:t>
      </w:r>
      <w:r>
        <w:t xml:space="preserve">order a Gaussian-like feature,</w:t>
      </w:r>
    </w:p>
    <w:p>
      <w:pPr>
        <w:pStyle w:val="SourceCode"/>
      </w:pPr>
      <w:r>
        <w:rPr>
          <w:rStyle w:val="VerbatimChar"/>
        </w:rPr>
        <w:t xml:space="preserve">G(\chi) \simeq G_{0}\left\lbrack 1 + \widetilde{\beta}\exp\left( - \frac{(\chi - \chi_{0})^{2}}{{\widetilde{\Delta}}^{2}} \right) \right\rbrack^{- 1},</w:t>
      </w:r>
    </w:p>
    <w:p>
      <w:pPr>
        <w:pStyle w:val="FirstParagraph"/>
      </w:pPr>
      <w:r>
        <w:t xml:space="preserve">which maps onto the phenomenological choice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P</m:t>
            </m:r>
            <m:r>
              <m:t>l</m:t>
            </m:r>
          </m:sub>
          <m:sup>
            <m:r>
              <m:t>2</m:t>
            </m:r>
          </m:sup>
        </m:sSubSup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χ</m:t>
            </m:r>
            <m:r>
              <m:rPr>
                <m:sty m:val="p"/>
              </m:rPr>
              <m:t>−</m:t>
            </m:r>
            <m:sSub>
              <m:e>
                <m:r>
                  <m:t>χ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after parameter redefinitions. This LPA-level sketch highlights the</w:t>
      </w:r>
      <w:r>
        <w:t xml:space="preserve"> </w:t>
      </w:r>
      <w:r>
        <w:t xml:space="preserve">plausibility of threshold-induced screening; refining the truncation is</w:t>
      </w:r>
      <w:r>
        <w:t xml:space="preserve"> </w:t>
      </w:r>
      <w:r>
        <w:t xml:space="preserve">left for future work.</w:t>
      </w:r>
    </w:p>
    <w:bookmarkEnd w:id="22"/>
    <w:bookmarkStart w:id="2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MCMC chains, configuration files (.param, .ini), covariance</w:t>
      </w:r>
      <w:r>
        <w:t xml:space="preserve"> </w:t>
      </w:r>
      <w:r>
        <w:t xml:space="preserve">matrices, and GetDist analysis outputs will be made publicly available</w:t>
      </w:r>
      <w:r>
        <w:t xml:space="preserve"> </w:t>
      </w:r>
      <w:r>
        <w:t xml:space="preserve">upon publication of this preprint (Zenodo/GitHub repository</w:t>
      </w:r>
      <w:r>
        <w:t xml:space="preserve"> </w:t>
      </w:r>
      <w:r>
        <w:t xml:space="preserve">forthcoming). This will enable full reproduction of the posterior</w:t>
      </w:r>
      <w:r>
        <w:t xml:space="preserve"> </w:t>
      </w:r>
      <w:r>
        <w:t xml:space="preserve">constraints in Table </w:t>
      </w:r>
      <w:hyperlink w:anchor="tab:constrai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Figures 1–2.</w:t>
      </w:r>
    </w:p>
    <w:bookmarkStart w:id="23" w:name="X39329bea501477fa5cdd708a70f6d83b6ca7779"/>
    <w:p>
      <w:pPr>
        <w:pStyle w:val="Heading2"/>
      </w:pPr>
      <w:r>
        <w:t xml:space="preserve">Appendix A — Numerical verification with CLASS</w:t>
      </w:r>
    </w:p>
    <w:p>
      <w:pPr>
        <w:pStyle w:val="FirstParagraph"/>
      </w:pPr>
      <w:r>
        <w:t xml:space="preserve">To validate the slow-roll predictions in the presence of a sharp</w:t>
      </w:r>
      <w:r>
        <w:t xml:space="preserve"> </w:t>
      </w:r>
      <w:r>
        <w:t xml:space="preserve">RG-induced threshold, we performed a full numerical evolution of the</w:t>
      </w:r>
      <w:r>
        <w:t xml:space="preserve"> </w:t>
      </w:r>
      <w:r>
        <w:t xml:space="preserve">inflationary background and perturbations using the Boltzmann solver</w:t>
      </w:r>
      <w:r>
        <w:t xml:space="preserve"> </w:t>
      </w:r>
      <w:r>
        <w:t xml:space="preserve">CLASS. The 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was implemented directly inside the</w:t>
      </w:r>
      <w:r>
        <w:t xml:space="preserve"> </w:t>
      </w:r>
      <w:r>
        <w:rPr>
          <w:rStyle w:val="VerbatimChar"/>
        </w:rPr>
        <w:t xml:space="preserve">primordial_inflation_potential</w:t>
      </w:r>
      <w:r>
        <w:t xml:space="preserve"> </w:t>
      </w:r>
      <w:r>
        <w:t xml:space="preserve">routine. No slow-roll approximation is</w:t>
      </w:r>
      <w:r>
        <w:t xml:space="preserve"> </w:t>
      </w:r>
      <w:r>
        <w:t xml:space="preserve">used by CLASS in the computation of the scalar spectrum; instead the</w:t>
      </w:r>
      <w:r>
        <w:t xml:space="preserve"> </w:t>
      </w:r>
      <w:r>
        <w:t xml:space="preserve">Mukhanov–Sasaki equation is solved numerically.</w:t>
      </w:r>
    </w:p>
    <w:p>
      <w:pPr>
        <w:pStyle w:val="BodyText"/>
      </w:pPr>
      <w:r>
        <w:t xml:space="preserve">We tested the benchmark point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which slow-roll predicts an enhanced running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The</w:t>
      </w:r>
      <w:r>
        <w:t xml:space="preserve"> </w:t>
      </w:r>
      <w:r>
        <w:t xml:space="preserve">numerical result obtained from CLASS is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t>0.959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≃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≃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1.5</m:t>
        </m:r>
        <m:r>
          <m:rPr>
            <m:nor/>
            <m:sty m:val="p"/>
          </m:rPr>
          <m:t>–</m:t>
        </m:r>
        <m:r>
          <m:t>2.0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The agreement</w:t>
      </w:r>
      <w:r>
        <w:t xml:space="preserve"> </w:t>
      </w:r>
      <w:r>
        <w:t xml:space="preserve">with the analytical second-order slow-roll estimate is better than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demonstrating that the enhanced running</w:t>
      </w:r>
      <w:r>
        <w:t xml:space="preserve"> </w:t>
      </w:r>
      <w:r>
        <w:t xml:space="preserve">is a physical effect and not an artifact of the slow-roll expansion. All</w:t>
      </w:r>
      <w:r>
        <w:t xml:space="preserve"> </w:t>
      </w:r>
      <w:r>
        <w:t xml:space="preserve">scripts required to reproduce the calculation (including the CLASS patch</w:t>
      </w:r>
      <w:r>
        <w:t xml:space="preserve"> </w:t>
      </w:r>
      <w:r>
        <w:t xml:space="preserve">and tabulated potential generator) are publicly available in the</w:t>
      </w:r>
      <w:r>
        <w:t xml:space="preserve"> </w:t>
      </w:r>
      <w:r>
        <w:t xml:space="preserve">accompanying repository.</w:t>
      </w:r>
    </w:p>
    <w:bookmarkEnd w:id="23"/>
    <w:bookmarkStart w:id="24" w:name="Xf706b77f1078ef9def84187d8102f98cfdfec65"/>
    <w:p>
      <w:pPr>
        <w:pStyle w:val="Heading2"/>
      </w:pPr>
      <w:r>
        <w:t xml:space="preserve">Appendix B — CLASS implementation via external spectra</w:t>
      </w:r>
    </w:p>
    <w:p>
      <w:pPr>
        <w:pStyle w:val="FirstParagraph"/>
      </w:pPr>
      <w:r>
        <w:t xml:space="preserve">To embed the RG-threshold mechanism into the Boltzmann solver without</w:t>
      </w:r>
      <w:r>
        <w:t xml:space="preserve"> </w:t>
      </w:r>
      <w:r>
        <w:t xml:space="preserve">modifying the</w:t>
      </w:r>
      <w:r>
        <w:t xml:space="preserve"> </w:t>
      </w:r>
      <w:r>
        <w:t xml:space="preserve">texttt{CLASS} source, we use the</w:t>
      </w:r>
      <w:r>
        <w:t xml:space="preserve"> </w:t>
      </w:r>
      <w:r>
        <w:t xml:space="preserve">texttt{external extunderscore Pk} interface.</w:t>
      </w:r>
      <w:r>
        <w:t xml:space="preserve"> </w:t>
      </w:r>
      <w:r>
        <w:t xml:space="preserve">The background equations and the mapping of comoving scales to the field value</w:t>
      </w:r>
      <w:r>
        <w:t xml:space="preserve"> </w:t>
      </w:r>
      <w:r>
        <w:t xml:space="preserve">at horizon exit,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↦</m:t>
        </m:r>
        <m:sSub>
          <m:e>
            <m:r>
              <m:t>χ</m:t>
            </m:r>
          </m:e>
          <m:sub>
            <m:r>
              <m:t>k</m:t>
            </m:r>
          </m:sub>
        </m:sSub>
      </m:oMath>
      <w:r>
        <w:t xml:space="preserve">, are solved</w:t>
      </w:r>
      <w:r>
        <w:t xml:space="preserve"> </w:t>
      </w:r>
      <w:r>
        <w:t xml:space="preserve">semi-analytically by a dedicated Python wrapper that exposes the</w:t>
      </w:r>
      <w:r>
        <w:t xml:space="preserve"> </w:t>
      </w:r>
      <w:r>
        <w:t xml:space="preserve">Einstein-frame potential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χ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its</w:t>
      </w:r>
      <w:r>
        <w:t xml:space="preserve"> </w:t>
      </w:r>
      <w:r>
        <w:t xml:space="preserve">derivatives. For each mode the script finds</w:t>
      </w:r>
      <w:r>
        <w:t xml:space="preserve"> </w:t>
      </w:r>
      <m:oMath>
        <m:sSub>
          <m:e>
            <m:r>
              <m:t>χ</m:t>
            </m:r>
          </m:e>
          <m:sub>
            <m:r>
              <m:t>k</m:t>
            </m:r>
          </m:sub>
        </m:sSub>
      </m:oMath>
      <w:r>
        <w:t xml:space="preserve">, computes the</w:t>
      </w:r>
      <w:r>
        <w:t xml:space="preserve"> </w:t>
      </w:r>
      <w:r>
        <w:t xml:space="preserve">corresponding slow-roll parameters (including the threshold-induced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contributions), and exports the scalar and tensor spectra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ζ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exttt{CLASS} then reads these spectra via</w:t>
      </w:r>
    </w:p>
    <w:p>
      <w:pPr>
        <w:pStyle w:val="SourceCode"/>
      </w:pPr>
      <w:r>
        <w:rPr>
          <w:rStyle w:val="VerbatimChar"/>
        </w:rPr>
        <w:t xml:space="preserve">P_k_ini type = external_Pk</w:t>
      </w:r>
      <w:r>
        <w:br/>
      </w:r>
      <w:r>
        <w:rPr>
          <w:rStyle w:val="VerbatimChar"/>
        </w:rPr>
        <w:t xml:space="preserve">command = python scripts/rg_spectrum_class.py 0.5 0.2</w:t>
      </w:r>
      <w:r>
        <w:br/>
      </w:r>
      <w:r>
        <w:rPr>
          <w:rStyle w:val="VerbatimChar"/>
        </w:rPr>
        <w:t xml:space="preserve">A_s = 2.1e-9</w:t>
      </w:r>
      <w:r>
        <w:br/>
      </w:r>
      <w:r>
        <w:rPr>
          <w:rStyle w:val="VerbatimChar"/>
        </w:rPr>
        <w:t xml:space="preserve">modes = s, t</w:t>
      </w:r>
    </w:p>
    <w:p>
      <w:pPr>
        <w:pStyle w:val="FirstParagraph"/>
      </w:pPr>
      <w:r>
        <w:t xml:space="preserve">which passes the threshold parameters</w:t>
      </w:r>
      <w:r>
        <w:t xml:space="preserve"> </w:t>
      </w:r>
      <m:oMath>
        <m:r>
          <m:rPr>
            <m:sty m:val="p"/>
          </m:rPr>
          <m:t>(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to the wrapper</w:t>
      </w:r>
      <w:r>
        <w:t xml:space="preserve"> </w:t>
      </w:r>
      <w:r>
        <w:t xml:space="preserve">and guarantees that the sharp feature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)</m:t>
        </m:r>
      </m:oMath>
      <w:r>
        <w:t xml:space="preserve"> </w:t>
      </w:r>
      <w:r>
        <w:t xml:space="preserve">is captured exactly in</w:t>
      </w:r>
      <w:r>
        <w:t xml:space="preserve"> </w:t>
      </w:r>
      <w:r>
        <w:t xml:space="preserve">the primordial power spectra used for the CMB calculation.</w:t>
      </w:r>
    </w:p>
    <w:bookmarkEnd w:id="24"/>
    <w:bookmarkEnd w:id="25"/>
    <w:bookmarkStart w:id="2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thank the ASG community members who contributed numerical stability</w:t>
      </w:r>
      <w:r>
        <w:t xml:space="preserve"> </w:t>
      </w:r>
      <w:r>
        <w:t xml:space="preserve">tests and polished the draft.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Planck Collaboration: N. Aghanim</w:t>
      </w:r>
      <w:r>
        <w:t xml:space="preserve"> </w:t>
      </w:r>
      <w:r>
        <w:rPr>
          <w:i/>
          <w:iCs/>
        </w:rPr>
        <w:t xml:space="preserve">et al.</w:t>
      </w:r>
      <w:r>
        <w:t xml:space="preserve">, “Planck 2018 results. VI.</w:t>
      </w:r>
      <w:r>
        <w:t xml:space="preserve"> </w:t>
      </w:r>
      <w:r>
        <w:t xml:space="preserve">Cosmological parameters,”</w:t>
      </w:r>
      <w:r>
        <w:t xml:space="preserve"> </w:t>
      </w:r>
      <w:r>
        <w:rPr>
          <w:i/>
          <w:iCs/>
        </w:rPr>
        <w:t xml:space="preserve">Astron. Astrophys.</w:t>
      </w:r>
      <w:r>
        <w:t xml:space="preserve"> </w:t>
      </w:r>
      <w:r>
        <w:rPr>
          <w:b/>
          <w:bCs/>
        </w:rPr>
        <w:t xml:space="preserve">641</w:t>
      </w:r>
      <w:r>
        <w:t xml:space="preserve">, A6 (2020),</w:t>
      </w:r>
      <w:r>
        <w:t xml:space="preserve"> </w:t>
      </w:r>
      <w:r>
        <w:t xml:space="preserve">arXiv:1807.06209.</w:t>
      </w:r>
    </w:p>
    <w:p>
      <w:pPr>
        <w:pStyle w:val="BodyText"/>
      </w:pPr>
      <w:r>
        <w:t xml:space="preserve">R. Kallosh and A. Linde, “Superconformal Inflationary</w:t>
      </w:r>
      <w:r>
        <w:t xml:space="preserve"> </w:t>
      </w:r>
      <m:oMath>
        <m:r>
          <m:t>α</m:t>
        </m:r>
      </m:oMath>
      <w:r>
        <w:t xml:space="preserve">-Attractors,” arXiv:1311.0472.</w:t>
      </w:r>
    </w:p>
    <w:p>
      <w:pPr>
        <w:pStyle w:val="BodyText"/>
      </w:pPr>
      <w:r>
        <w:t xml:space="preserve">F. Saueressig, J. Wang, and M. Yamada, “The Functional Renormalization</w:t>
      </w:r>
      <w:r>
        <w:t xml:space="preserve"> </w:t>
      </w:r>
      <w:r>
        <w:t xml:space="preserve">Group in Quantum Gravity,” arXiv:2302.14152.</w:t>
      </w:r>
    </w:p>
    <w:p>
      <w:pPr>
        <w:pStyle w:val="BodyText"/>
      </w:pPr>
      <w:r>
        <w:t xml:space="preserve">M. Reuter, “Nonperturbative evolution equation for quantum gravity,”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57</w:t>
      </w:r>
      <w:r>
        <w:t xml:space="preserve">, 971 (1998), arXiv:hep-th/9605030.</w:t>
      </w:r>
    </w:p>
    <w:p>
      <w:pPr>
        <w:pStyle w:val="BodyText"/>
      </w:pPr>
      <w:r>
        <w:t xml:space="preserve">A. Ashtekar, T. Pawlowski, and P. Singh, “Quantum nature of the big</w:t>
      </w:r>
      <w:r>
        <w:t xml:space="preserve"> </w:t>
      </w:r>
      <w:r>
        <w:t xml:space="preserve">bang: Improved dynamics,”</w:t>
      </w:r>
      <w:r>
        <w:t xml:space="preserve"> </w:t>
      </w:r>
      <w:r>
        <w:rPr>
          <w:i/>
          <w:iCs/>
        </w:rPr>
        <w:t xml:space="preserve">Phys. Rev. D</w:t>
      </w:r>
      <w:r>
        <w:t xml:space="preserve"> </w:t>
      </w:r>
      <w:r>
        <w:rPr>
          <w:b/>
          <w:bCs/>
        </w:rPr>
        <w:t xml:space="preserve">74</w:t>
      </w:r>
      <w:r>
        <w:t xml:space="preserve">, 084003 (2006),</w:t>
      </w:r>
      <w:r>
        <w:t xml:space="preserve"> </w:t>
      </w:r>
      <w:r>
        <w:t xml:space="preserve">arXiv:gr-qc/0607039.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2026-02-27T19:04:04Z</dcterms:created>
  <dcterms:modified xsi:type="dcterms:W3CDTF">2026-02-27T19:04:04Z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