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Override PartName="/word/media/rId25.pdf" ContentType="application/pdf"/>
  <Override PartName="/word/media/rId3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Threshold-Induced Gravitational Screening as the Origin of Inflationary Attractors</w:t>
      </w:r>
    </w:p>
    <w:p>
      <w:pPr>
        <w:pStyle w:val="Author"/>
      </w:pPr>
      <w:r>
        <w:t xml:space="preserve">[Your Name(s)]</w:t>
      </w:r>
    </w:p>
    <w:p>
      <w:pPr>
        <w:pStyle w:val="Date"/>
      </w:pPr>
      <w:r>
        <w:t xml:space="preserve">2026-03-03</w:t>
      </w:r>
    </w:p>
    <w:p>
      <w:pPr>
        <w:pStyle w:val="AbstractTitle"/>
      </w:pPr>
      <w:r>
        <w:t xml:space="preserve">Abstract</w:t>
      </w:r>
    </w:p>
    <w:p>
      <w:pPr>
        <w:pStyle w:val="Abstract"/>
      </w:pPr>
      <w:r>
        <w:t xml:space="preserve">We investigate an inflationary mechanism in which the attractor behaviour arises from a field-dependent Planck mass rather than from a specially tuned scalar potential. A heavy threshold sector induces a running gravitational coupling</w:t>
      </w:r>
      <w:r>
        <w:t xml:space="preserve"> </w:t>
      </w:r>
      <m:oMath>
        <m:r>
          <m:t>F</m:t>
        </m:r>
        <m:r>
          <m:rPr>
            <m:sty m:val="p"/>
          </m:rPr>
          <m:t>(</m:t>
        </m:r>
        <m:r>
          <m:t>χ</m:t>
        </m:r>
        <m:r>
          <m:rPr>
            <m:sty m:val="p"/>
          </m:rPr>
          <m:t>)</m:t>
        </m:r>
      </m:oMath>
      <w:r>
        <w:t xml:space="preserve">, so that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dynamically develops a plateau through gravitational screening. Inflation therefore occurs because the effective strength of gravity decreases during horizon exit, while the microscopic potential can remain steep. When derivatives of</w:t>
      </w:r>
      <w:r>
        <w:t xml:space="preserve"> </w:t>
      </w:r>
      <m:oMath>
        <m:r>
          <m:t>F</m:t>
        </m:r>
        <m:r>
          <m:rPr>
            <m:sty m:val="p"/>
          </m:rPr>
          <m:t>(</m:t>
        </m:r>
        <m:r>
          <m:t>χ</m:t>
        </m:r>
        <m:r>
          <m:rPr>
            <m:sty m:val="p"/>
          </m:rPr>
          <m:t>)</m:t>
        </m:r>
      </m:oMath>
      <w:r>
        <w:t xml:space="preserve"> </w:t>
      </w:r>
      <w:r>
        <w:t xml:space="preserve">dominate the field-space metric, the theory approaches the universal pole structure of single-field attractor inflation. In this regime the slow-roll parameters are controlled primarily by</w:t>
      </w:r>
      <w:r>
        <w:t xml:space="preserve"> </w:t>
      </w:r>
      <m:oMath>
        <m:sSub>
          <m:e>
            <m:r>
              <m:rPr>
                <m:sty m:val="p"/>
              </m:rPr>
              <m:t>∂</m:t>
            </m:r>
          </m:e>
          <m:sub>
            <m:r>
              <m:t>χ</m:t>
            </m:r>
          </m:sub>
        </m:sSub>
        <m:r>
          <m:rPr>
            <m:sty m:val="p"/>
          </m:rPr>
          <m:t>ln</m:t>
        </m:r>
        <m:r>
          <m:t>F</m:t>
        </m:r>
      </m:oMath>
      <w:r>
        <w:t xml:space="preserve">, providing a dynamical origin for attractor geometry rather than introducing a new attractor class. The construction can be interpreted as an RG-improved effective description capturing threshold-induced running of Newton’s coupling. Using</w:t>
      </w:r>
      <w:r>
        <w:t xml:space="preserve"> </w:t>
      </w:r>
      <w:r>
        <w:rPr>
          <w:smallCaps/>
        </w:rPr>
        <w:t xml:space="preserve">CLASS</w:t>
      </w:r>
      <w:r>
        <w:t xml:space="preserve"> </w:t>
      </w:r>
      <w:r>
        <w:t xml:space="preserve">and</w:t>
      </w:r>
      <w:r>
        <w:t xml:space="preserve"> </w:t>
      </w:r>
      <w:r>
        <w:rPr>
          <w:smallCaps/>
        </w:rPr>
        <w:t xml:space="preserve">MontePython</w:t>
      </w:r>
      <w:r>
        <w:t xml:space="preserve"> </w:t>
      </w:r>
      <w:r>
        <w:t xml:space="preserve">with Planck 2018 TT,TE,EE+lowE+lensing+BAO likelihoods</w:t>
      </w:r>
      <w:r>
        <w:t xml:space="preserve"> </w:t>
      </w:r>
      <w:r>
        <w:t xml:space="preserve"> </w:t>
      </w:r>
      <w:r>
        <w:t xml:space="preserve">we obtain</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Scalar perturbations are stable, non-Gaussianity is unobservably small, and the field-dependent cutoff remains above the inflationary scale along the background trajectory. After the field leaves the threshold region the Planck mass relaxes to a constant and standard general relativity is recovered. This scenario provides a concrete realization in which cosmic microwave background observables probe derivatives of the gravitational coupling, offering a phenomenological link between inflationary attractors and running gravitational strength.</w:t>
      </w:r>
    </w:p>
    <w:bookmarkStart w:id="9" w:name="sec:intro"/>
    <w:p>
      <w:pPr>
        <w:pStyle w:val="Heading1"/>
      </w:pPr>
      <w:r>
        <w:t xml:space="preserve">Introduction</w:t>
      </w:r>
    </w:p>
    <w:p>
      <w:pPr>
        <w:pStyle w:val="FirstParagraph"/>
      </w:pPr>
      <w:r>
        <w:t xml:space="preserve">The physical origin of the inflationary attractor remains unclear: in most constructions it is attributed to a specially shaped scalar potential, while the role of gravitational dynamics is assumed passive. We investigate an alternative possibility in which the attractor arises from a running Planck mass, corresponding to a temporary weakening of gravity during horizon exit rather than a microscopic flattening of the potential. The ASG scenario posits that threshold effects in a heavy sector feed into this running Planck mass, flattening the scalar potential in the Einstein frame and producing a robust prediction</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consistent with Planck 2018 TT,TE,EE+lowE+lensing+BAO data</w:t>
      </w:r>
      <w:r>
        <w:t xml:space="preserve"> </w:t>
      </w:r>
      <w:r>
        <w:t xml:space="preserve">. As with</w:t>
      </w:r>
      <w:r>
        <w:t xml:space="preserve"> </w:t>
      </w:r>
      <m:oMath>
        <m:r>
          <m:t>α</m:t>
        </m:r>
      </m:oMath>
      <w:r>
        <w:t xml:space="preserve">-attractors, the attractor behaviour is insensitive to microphysical details provided the kinetic manifold exhibits a pole of order two. The structure of the paper is as follows. In</w:t>
      </w:r>
      <w:r>
        <w:t xml:space="preserve"> </w:t>
      </w:r>
      <w:hyperlink w:anchor="sec:framework">
        <w:r>
          <w:rPr>
            <w:rStyle w:val="Hyperlink"/>
          </w:rPr>
          <w:t xml:space="preserve">2</w:t>
        </w:r>
      </w:hyperlink>
      <w:r>
        <w:t xml:space="preserve"> </w:t>
      </w:r>
      <w:r>
        <w:t xml:space="preserve">we formulate the running Planck-mass framework and derive the Einstein-frame dynamics.</w:t>
      </w:r>
      <w:r>
        <w:t xml:space="preserve"> </w:t>
      </w:r>
      <w:hyperlink w:anchor="sec:origin">
        <w:r>
          <w:rPr>
            <w:rStyle w:val="Hyperlink"/>
          </w:rPr>
          <w:t xml:space="preserve">3</w:t>
        </w:r>
      </w:hyperlink>
      <w:r>
        <w:t xml:space="preserve"> </w:t>
      </w:r>
      <w:r>
        <w:t xml:space="preserve">shows how the attractor behaviour emerges from differential gravitational screening and relates it to pole inflation geometry. In</w:t>
      </w:r>
      <w:r>
        <w:t xml:space="preserve"> </w:t>
      </w:r>
      <w:hyperlink w:anchor="sec:observables">
        <w:r>
          <w:rPr>
            <w:rStyle w:val="Hyperlink"/>
          </w:rPr>
          <w:t xml:space="preserve">4</w:t>
        </w:r>
      </w:hyperlink>
      <w:r>
        <w:t xml:space="preserve"> </w:t>
      </w:r>
      <w:r>
        <w:t xml:space="preserve">we compute inflationary observables and confront the model with Planck 2018 likelihoods using</w:t>
      </w:r>
      <w:r>
        <w:t xml:space="preserve"> </w:t>
      </w:r>
      <w:r>
        <w:rPr>
          <w:smallCaps/>
        </w:rPr>
        <w:t xml:space="preserve">CLASS</w:t>
      </w:r>
      <w:r>
        <w:t xml:space="preserve"> </w:t>
      </w:r>
      <w:r>
        <w:t xml:space="preserve">and</w:t>
      </w:r>
      <w:r>
        <w:t xml:space="preserve"> </w:t>
      </w:r>
      <w:r>
        <w:rPr>
          <w:smallCaps/>
        </w:rPr>
        <w:t xml:space="preserve">MontePython</w:t>
      </w:r>
      <w:r>
        <w:t xml:space="preserve">.</w:t>
      </w:r>
      <w:r>
        <w:t xml:space="preserve"> </w:t>
      </w:r>
      <w:hyperlink w:anchor="sec:constraints">
        <w:r>
          <w:rPr>
            <w:rStyle w:val="Hyperlink"/>
          </w:rPr>
          <w:t xml:space="preserve">5</w:t>
        </w:r>
      </w:hyperlink>
      <w:r>
        <w:t xml:space="preserve"> </w:t>
      </w:r>
      <w:r>
        <w:t xml:space="preserve">reports the cosmological constraints and</w:t>
      </w:r>
      <w:r>
        <w:t xml:space="preserve"> </w:t>
      </w:r>
      <w:hyperlink w:anchor="sec:nondegeneracy">
        <w:r>
          <w:rPr>
            <w:rStyle w:val="Hyperlink"/>
          </w:rPr>
          <w:t xml:space="preserve">6</w:t>
        </w:r>
      </w:hyperlink>
      <w:r>
        <w:t xml:space="preserve"> </w:t>
      </w:r>
      <w:r>
        <w:t xml:space="preserve">discusses non-degeneracy with</w:t>
      </w:r>
      <w:r>
        <w:t xml:space="preserve"> </w:t>
      </w:r>
      <m:oMath>
        <m:r>
          <m:t>α</m:t>
        </m:r>
      </m:oMath>
      <w:r>
        <w:t xml:space="preserve">-attractors. Sections </w:t>
      </w:r>
      <w:hyperlink w:anchor="sec:stability">
        <w:r>
          <w:rPr>
            <w:rStyle w:val="Hyperlink"/>
          </w:rPr>
          <w:t xml:space="preserve">10</w:t>
        </w:r>
      </w:hyperlink>
      <w:r>
        <w:t xml:space="preserve">–</w:t>
      </w:r>
      <w:hyperlink w:anchor="sec:frg">
        <w:r>
          <w:rPr>
            <w:rStyle w:val="Hyperlink"/>
          </w:rPr>
          <w:t xml:space="preserve">14</w:t>
        </w:r>
      </w:hyperlink>
      <w:r>
        <w:t xml:space="preserve"> </w:t>
      </w:r>
      <w:r>
        <w:t xml:space="preserve">analyze stability, EFT validity, the basin of attraction, and the FRG interpretation. Appendices summarize numerical implementations.</w:t>
      </w:r>
    </w:p>
    <w:bookmarkEnd w:id="9"/>
    <w:bookmarkStart w:id="10" w:name="sec:framework"/>
    <w:p>
      <w:pPr>
        <w:pStyle w:val="Heading1"/>
      </w:pPr>
      <w:r>
        <w:t xml:space="preserve">Running Planck Mass Framework</w:t>
      </w:r>
    </w:p>
    <w:p>
      <w:pPr>
        <w:pStyle w:val="FirstParagraph"/>
      </w:pPr>
      <w:r>
        <w:t xml:space="preserve">We start from the Jordan-frame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r>
                <m:t>F</m:t>
              </m:r>
              <m:r>
                <m:rPr>
                  <m:sty m:val="p"/>
                </m:rPr>
                <m:t>(</m:t>
              </m:r>
              <m:r>
                <m:t>χ</m:t>
              </m:r>
              <m:r>
                <m:rPr>
                  <m:sty m:val="p"/>
                </m:rPr>
                <m:t>)</m:t>
              </m:r>
              <m:r>
                <m:t>R</m:t>
              </m:r>
              <m:r>
                <m:rPr>
                  <m:sty m:val="p"/>
                </m:rPr>
                <m:t>−</m:t>
              </m:r>
              <m:f>
                <m:fPr>
                  <m:type m:val="bar"/>
                </m:fPr>
                <m:num>
                  <m:r>
                    <m:t>1</m:t>
                  </m:r>
                </m:num>
                <m:den>
                  <m:r>
                    <m:t>2</m:t>
                  </m:r>
                </m:den>
              </m:f>
              <m:r>
                <m:rPr>
                  <m:sty m:val="p"/>
                </m:rPr>
                <m:t>(</m:t>
              </m:r>
              <m:r>
                <m:rPr>
                  <m:sty m:val="p"/>
                </m:rPr>
                <m:t>∂</m:t>
              </m:r>
              <m:r>
                <m:t>χ</m:t>
              </m:r>
              <m:sSup>
                <m:e>
                  <m:r>
                    <m:rPr>
                      <m:sty m:val="p"/>
                    </m:rPr>
                    <m:t>)</m:t>
                  </m:r>
                </m:e>
                <m:sup>
                  <m:r>
                    <m:t>2</m:t>
                  </m:r>
                </m:sup>
              </m:sSup>
              <m:r>
                <m:rPr>
                  <m:sty m:val="p"/>
                </m:rPr>
                <m:t>−</m:t>
              </m:r>
              <m:r>
                <m:t>V</m:t>
              </m:r>
              <m:r>
                <m:rPr>
                  <m:sty m:val="p"/>
                </m:rPr>
                <m:t>(</m:t>
              </m:r>
              <m:r>
                <m:t>χ</m:t>
              </m:r>
              <m:r>
                <m:rPr>
                  <m:sty m:val="p"/>
                </m:rPr>
                <m:t>)</m:t>
              </m:r>
            </m:e>
          </m:d>
          <m:r>
            <m:rPr>
              <m:sty m:val="p"/>
            </m:rPr>
            <m:t>,</m:t>
          </m:r>
        </m:oMath>
      </m:oMathPara>
    </w:p>
    <w:p>
      <w:pPr>
        <w:pStyle w:val="FirstParagraph"/>
      </w:pPr>
      <w:r>
        <w:t xml:space="preserve">where we take</w:t>
      </w:r>
    </w:p>
    <w:p>
      <w:pPr>
        <w:pStyle w:val="BodyText"/>
      </w:pPr>
      <w:r>
        <w:t xml:space="preserve">$$\begin{equation}
    F(\chi)=M_{\rm Pl}^{2}\left[1+\beta\exp\left(-\frac{(\chi-\chi_{0})^{2}}{\Delta^{2}}\right)\right], \qquad V(\chi)=\Lambda^{4}\left[1-\exp\left(-\frac{\chi}{\mu}\right)\right]^{2}.
    \end{equation}$$</w:t>
      </w:r>
    </w:p>
    <w:p>
      <w:pPr>
        <w:pStyle w:val="FirstParagraph"/>
      </w:pPr>
      <w:r>
        <w:t xml:space="preserve">Transforming to the Einstein frame introduces</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the kinetic prefactor</w:t>
      </w:r>
    </w:p>
    <w:p>
      <w:pPr>
        <w:pStyle w:val="BodyText"/>
      </w:pPr>
      <m:oMathPara>
        <m:oMathParaPr>
          <m:jc m:val="center"/>
        </m:oMathParaPr>
        <m:oMath>
          <m:r>
            <m:t>K</m:t>
          </m:r>
          <m:r>
            <m:rPr>
              <m:sty m:val="p"/>
            </m:rPr>
            <m:t>(</m:t>
          </m:r>
          <m:r>
            <m:t>χ</m:t>
          </m:r>
          <m:r>
            <m:rPr>
              <m:sty m:val="p"/>
            </m:rPr>
            <m:t>)</m:t>
          </m:r>
          <m:r>
            <m:rPr>
              <m:sty m:val="p"/>
            </m:rPr>
            <m:t>=</m:t>
          </m:r>
          <m:f>
            <m:fPr>
              <m:type m:val="bar"/>
            </m:fPr>
            <m:num>
              <m:r>
                <m:t>1</m:t>
              </m:r>
            </m:num>
            <m:den>
              <m:r>
                <m:t>F</m:t>
              </m:r>
              <m:r>
                <m:rPr>
                  <m:sty m:val="p"/>
                </m:rPr>
                <m:t>(</m:t>
              </m:r>
              <m:r>
                <m:t>χ</m:t>
              </m:r>
              <m:r>
                <m:rPr>
                  <m:sty m:val="p"/>
                </m:rPr>
                <m:t>)</m:t>
              </m:r>
            </m:den>
          </m:f>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e>
              </m:d>
            </m:e>
            <m:sup>
              <m:r>
                <m:t>2</m:t>
              </m:r>
            </m:sup>
          </m:sSup>
          <m:r>
            <m:rPr>
              <m:sty m:val="p"/>
            </m:rPr>
            <m:t>.</m:t>
          </m:r>
        </m:oMath>
      </m:oMathPara>
    </w:p>
    <w:bookmarkEnd w:id="10"/>
    <w:bookmarkStart w:id="11" w:name="sec:origin"/>
    <w:p>
      <w:pPr>
        <w:pStyle w:val="Heading1"/>
      </w:pPr>
      <w:r>
        <w:t xml:space="preserve">Origin of the Attractor</w:t>
      </w:r>
    </w:p>
    <w:p>
      <w:pPr>
        <w:pStyle w:val="FirstParagraph"/>
      </w:pPr>
      <w:r>
        <w:t xml:space="preserve">Inflationary screening occurs once</w:t>
      </w:r>
    </w:p>
    <w:p>
      <w:pPr>
        <w:pStyle w:val="BodyText"/>
      </w:pPr>
      <m:oMathPara>
        <m:oMathParaPr>
          <m:jc m:val="center"/>
        </m:oMathParaPr>
        <m:oMath>
          <m:f>
            <m:fPr>
              <m:type m:val="bar"/>
            </m:fPr>
            <m:num>
              <m:sSup>
                <m:e>
                  <m:r>
                    <m:t>U</m:t>
                  </m:r>
                </m:e>
                <m:sup>
                  <m:r>
                    <m:rPr>
                      <m:sty m:val="p"/>
                    </m:rPr>
                    <m:t>′</m:t>
                  </m:r>
                </m:sup>
              </m:sSup>
            </m:num>
            <m:den>
              <m:r>
                <m:t>U</m:t>
              </m:r>
            </m:den>
          </m:f>
          <m:r>
            <m:rPr>
              <m:sty m:val="p"/>
            </m:rPr>
            <m:t>=</m:t>
          </m:r>
          <m:f>
            <m:fPr>
              <m:type m:val="bar"/>
            </m:fPr>
            <m:num>
              <m:sSup>
                <m:e>
                  <m:r>
                    <m:t>V</m:t>
                  </m:r>
                </m:e>
                <m:sup>
                  <m:r>
                    <m:rPr>
                      <m:sty m:val="p"/>
                    </m:rPr>
                    <m:t>′</m:t>
                  </m:r>
                </m:sup>
              </m:sSup>
            </m:num>
            <m:den>
              <m:r>
                <m:t>V</m:t>
              </m:r>
            </m:den>
          </m:f>
          <m:r>
            <m:rPr>
              <m:sty m:val="p"/>
            </m:rPr>
            <m:t>−</m:t>
          </m:r>
          <m:r>
            <m:t>2</m:t>
          </m:r>
          <m:f>
            <m:fPr>
              <m:type m:val="bar"/>
            </m:fPr>
            <m:num>
              <m:sSup>
                <m:e>
                  <m:r>
                    <m:t>F</m:t>
                  </m:r>
                </m:e>
                <m:sup>
                  <m:r>
                    <m:rPr>
                      <m:sty m:val="p"/>
                    </m:rPr>
                    <m:t>′</m:t>
                  </m:r>
                </m:sup>
              </m:sSup>
            </m:num>
            <m:den>
              <m:r>
                <m:t>F</m:t>
              </m:r>
            </m:den>
          </m:f>
          <m:r>
            <m:rPr>
              <m:sty m:val="p"/>
            </m:rPr>
            <m:t>,</m:t>
          </m:r>
        </m:oMath>
      </m:oMathPara>
    </w:p>
    <w:p>
      <w:pPr>
        <w:pStyle w:val="FirstParagraph"/>
      </w:pPr>
      <w:r>
        <w:t xml:space="preserve">so that the plateau corresponds to</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When</w:t>
      </w:r>
      <w:r>
        <w:t xml:space="preserve"> </w:t>
      </w:r>
      <m:oMath>
        <m:sSup>
          <m:e>
            <m:r>
              <m:t>F</m:t>
            </m:r>
          </m:e>
          <m:sup>
            <m:r>
              <m:rPr>
                <m:sty m:val="p"/>
              </m:rPr>
              <m:t>′</m:t>
            </m:r>
          </m:sup>
        </m:sSup>
        <m:r>
          <m:rPr>
            <m:sty m:val="p"/>
          </m:rPr>
          <m:t>/</m:t>
        </m:r>
        <m:r>
          <m:t>F</m:t>
        </m:r>
      </m:oMath>
      <w:r>
        <w:t xml:space="preserve"> </w:t>
      </w:r>
      <w:r>
        <w:t xml:space="preserve">dominates, the field-space metric is pole-like,</w:t>
      </w:r>
    </w:p>
    <w:p>
      <w:pPr>
        <w:pStyle w:val="BodyText"/>
      </w:pPr>
      <m:oMathPara>
        <m:oMathParaPr>
          <m:jc m:val="center"/>
        </m:oMathParaPr>
        <m:oMath>
          <m:r>
            <m:t>K</m:t>
          </m:r>
          <m:r>
            <m:rPr>
              <m:sty m:val="p"/>
            </m:rPr>
            <m:t>(</m:t>
          </m:r>
          <m:r>
            <m:t>χ</m:t>
          </m:r>
          <m:r>
            <m:rPr>
              <m:sty m:val="p"/>
            </m:rPr>
            <m:t>)</m:t>
          </m:r>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num>
                    <m:den>
                      <m:r>
                        <m:t>F</m:t>
                      </m:r>
                    </m:den>
                  </m:f>
                </m:e>
              </m:d>
            </m:e>
            <m:sup>
              <m:r>
                <m:t>2</m:t>
              </m:r>
            </m:sup>
          </m:sSup>
          <m:r>
            <m:t>  </m:t>
          </m:r>
          <m:r>
            <m:rPr>
              <m:sty m:val="p"/>
            </m:rPr>
            <m:t>⇒</m:t>
          </m:r>
          <m:r>
            <m:t>  </m:t>
          </m:r>
          <m:r>
            <m:t>φ</m:t>
          </m:r>
          <m:r>
            <m:rPr>
              <m:sty m:val="p"/>
            </m:rPr>
            <m:t>≃</m:t>
          </m:r>
          <m:rad>
            <m:radPr>
              <m:degHide m:val="on"/>
            </m:radPr>
            <m:deg/>
            <m:e>
              <m:f>
                <m:fPr>
                  <m:type m:val="bar"/>
                </m:fPr>
                <m:num>
                  <m:r>
                    <m:t>3</m:t>
                  </m:r>
                </m:num>
                <m:den>
                  <m:r>
                    <m:t>2</m:t>
                  </m:r>
                </m:den>
              </m:f>
            </m:e>
          </m:rad>
          <m:r>
            <m:rPr>
              <m:sty m:val="p"/>
            </m:rPr>
            <m:t>ln</m:t>
          </m:r>
          <m:r>
            <m:t>F</m:t>
          </m:r>
          <m:r>
            <m:rPr>
              <m:sty m:val="p"/>
            </m:rPr>
            <m:t>,</m:t>
          </m:r>
        </m:oMath>
      </m:oMathPara>
    </w:p>
    <w:p>
      <w:pPr>
        <w:pStyle w:val="FirstParagraph"/>
      </w:pPr>
      <w:r>
        <w:t xml:space="preserve">forcing the potential toward</w:t>
      </w:r>
    </w:p>
    <w:p>
      <w:pPr>
        <w:pStyle w:val="BodyText"/>
      </w:pPr>
      <m:oMathPara>
        <m:oMathParaPr>
          <m:jc m:val="center"/>
        </m:oMathParaPr>
        <m:oMath>
          <m:r>
            <m:t>U</m:t>
          </m:r>
          <m:r>
            <m:rPr>
              <m:sty m:val="p"/>
            </m:rPr>
            <m:t>(</m:t>
          </m:r>
          <m:r>
            <m:t>φ</m:t>
          </m:r>
          <m:r>
            <m:rPr>
              <m:sty m:val="p"/>
            </m:rPr>
            <m:t>)</m:t>
          </m:r>
          <m:r>
            <m:rPr>
              <m:sty m:val="p"/>
            </m:rPr>
            <m:t>→</m:t>
          </m:r>
          <m:sSub>
            <m:e>
              <m:r>
                <m:t>U</m:t>
              </m:r>
            </m:e>
            <m:sub>
              <m:r>
                <m:t>0</m:t>
              </m:r>
            </m:sub>
          </m:sSub>
          <m:d>
            <m:dPr>
              <m:begChr m:val="["/>
              <m:sepChr m:val=""/>
              <m:endChr m:val="]"/>
              <m:grow/>
            </m:dPr>
            <m:e>
              <m:r>
                <m:t>1</m:t>
              </m:r>
              <m:r>
                <m:rPr>
                  <m:sty m:val="p"/>
                </m:rPr>
                <m:t>−</m:t>
              </m:r>
              <m:r>
                <m:t>2</m:t>
              </m:r>
              <m:sSup>
                <m:e>
                  <m:r>
                    <m:t>e</m:t>
                  </m:r>
                </m:e>
                <m:sup>
                  <m:r>
                    <m:rPr>
                      <m:sty m:val="p"/>
                    </m:rPr>
                    <m:t>−</m:t>
                  </m:r>
                  <m:rad>
                    <m:radPr>
                      <m:degHide m:val="on"/>
                    </m:radPr>
                    <m:deg/>
                    <m:e>
                      <m:r>
                        <m:t>2</m:t>
                      </m:r>
                      <m:r>
                        <m:rPr>
                          <m:sty m:val="p"/>
                        </m:rPr>
                        <m:t>/</m:t>
                      </m:r>
                      <m:r>
                        <m:t>3</m:t>
                      </m:r>
                    </m:e>
                  </m:rad>
                  <m:r>
                    <m:t> </m:t>
                  </m:r>
                  <m:r>
                    <m:t>φ</m:t>
                  </m:r>
                </m:sup>
              </m:sSup>
              <m:r>
                <m:rPr>
                  <m:sty m:val="p"/>
                </m:rPr>
                <m:t>+</m:t>
              </m:r>
              <m:r>
                <m:rPr>
                  <m:scr m:val="script"/>
                  <m:sty m:val="p"/>
                </m:rPr>
                <m:t>O</m:t>
              </m:r>
              <m:r>
                <m:rPr>
                  <m:sty m:val="p"/>
                </m:rPr>
                <m:t>(</m:t>
              </m:r>
              <m:sSup>
                <m:e>
                  <m:r>
                    <m:t>e</m:t>
                  </m:r>
                </m:e>
                <m:sup>
                  <m:r>
                    <m:rPr>
                      <m:sty m:val="p"/>
                    </m:rPr>
                    <m:t>−</m:t>
                  </m:r>
                  <m:r>
                    <m:t>2</m:t>
                  </m:r>
                  <m:rad>
                    <m:radPr>
                      <m:degHide m:val="on"/>
                    </m:radPr>
                    <m:deg/>
                    <m:e>
                      <m:r>
                        <m:t>2</m:t>
                      </m:r>
                      <m:r>
                        <m:rPr>
                          <m:sty m:val="p"/>
                        </m:rPr>
                        <m:t>/</m:t>
                      </m:r>
                      <m:r>
                        <m:t>3</m:t>
                      </m:r>
                    </m:e>
                  </m:rad>
                  <m:r>
                    <m:t> </m:t>
                  </m:r>
                  <m:r>
                    <m:t>φ</m:t>
                  </m:r>
                </m:sup>
              </m:sSup>
              <m:r>
                <m:rPr>
                  <m:sty m:val="p"/>
                </m:rPr>
                <m:t>)</m:t>
              </m:r>
            </m:e>
          </m:d>
          <m:r>
            <m:rPr>
              <m:sty m:val="p"/>
            </m:rPr>
            <m:t>,</m:t>
          </m:r>
          <m:r>
            <m:t>  </m:t>
          </m:r>
          <m:sSub>
            <m:e>
              <m:r>
                <m:t>n</m:t>
              </m:r>
            </m:e>
            <m:sub>
              <m:r>
                <m:t>s</m:t>
              </m:r>
            </m:sub>
          </m:sSub>
          <m:r>
            <m:rPr>
              <m:sty m:val="p"/>
            </m:rPr>
            <m:t>≃</m:t>
          </m:r>
          <m:r>
            <m:t>1</m:t>
          </m:r>
          <m:r>
            <m:rPr>
              <m:sty m:val="p"/>
            </m:rPr>
            <m:t>−</m:t>
          </m:r>
          <m:f>
            <m:fPr>
              <m:type m:val="bar"/>
            </m:fPr>
            <m:num>
              <m:r>
                <m:t>2</m:t>
              </m:r>
            </m:num>
            <m:den>
              <m:r>
                <m:t>N</m:t>
              </m:r>
            </m:den>
          </m:f>
          <m:r>
            <m:rPr>
              <m:sty m:val="p"/>
            </m:rPr>
            <m:t>,</m:t>
          </m:r>
          <m:r>
            <m:t>  </m:t>
          </m:r>
          <m:r>
            <m:t>r</m:t>
          </m:r>
          <m:r>
            <m:rPr>
              <m:sty m:val="p"/>
            </m:rPr>
            <m:t>≃</m:t>
          </m:r>
          <m:f>
            <m:fPr>
              <m:type m:val="bar"/>
            </m:fPr>
            <m:num>
              <m:r>
                <m:t>12</m:t>
              </m:r>
            </m:num>
            <m:den>
              <m:sSup>
                <m:e>
                  <m:r>
                    <m:t>N</m:t>
                  </m:r>
                </m:e>
                <m:sup>
                  <m:r>
                    <m:t>2</m:t>
                  </m:r>
                </m:sup>
              </m:sSup>
            </m:den>
          </m:f>
          <m:r>
            <m:rPr>
              <m:sty m:val="p"/>
            </m:rPr>
            <m:t>.</m:t>
          </m:r>
        </m:oMath>
      </m:oMathPara>
    </w:p>
    <w:bookmarkEnd w:id="11"/>
    <w:bookmarkStart w:id="14" w:name="sec:observables"/>
    <w:p>
      <w:pPr>
        <w:pStyle w:val="Heading1"/>
      </w:pPr>
      <w:r>
        <w:t xml:space="preserve">Inflationary Observables</w:t>
      </w:r>
    </w:p>
    <w:p>
      <w:pPr>
        <w:pStyle w:val="FirstParagraph"/>
      </w:pPr>
      <w:r>
        <w:t xml:space="preserve">After canonical normalization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the slow-roll parameters are</w:t>
      </w:r>
    </w:p>
    <w:p>
      <w:pPr>
        <w:pStyle w:val="BodyText"/>
      </w:pPr>
      <m:oMathPara>
        <m:oMathParaPr>
          <m:jc m:val="center"/>
        </m:oMathParaPr>
        <m:oMath>
          <m:r>
            <m:t>ϵ</m:t>
          </m:r>
          <m:r>
            <m:rPr>
              <m:sty m:val="p"/>
            </m:rPr>
            <m:t>=</m:t>
          </m:r>
          <m:f>
            <m:fPr>
              <m:type m:val="bar"/>
            </m:fPr>
            <m:num>
              <m:r>
                <m:t>1</m:t>
              </m:r>
            </m:num>
            <m:den>
              <m:r>
                <m:t>2</m:t>
              </m:r>
            </m:den>
          </m:f>
          <m:sSup>
            <m:e>
              <m:d>
                <m:dPr>
                  <m:begChr m:val="("/>
                  <m:sepChr m:val=""/>
                  <m:endChr m:val=")"/>
                  <m:grow/>
                </m:dPr>
                <m:e>
                  <m:f>
                    <m:fPr>
                      <m:type m:val="bar"/>
                    </m:fPr>
                    <m:num>
                      <m:sSup>
                        <m:e>
                          <m:r>
                            <m:t>U</m:t>
                          </m:r>
                        </m:e>
                        <m:sup>
                          <m:r>
                            <m:rPr>
                              <m:sty m:val="p"/>
                            </m:rPr>
                            <m:t>′</m:t>
                          </m:r>
                        </m:sup>
                      </m:sSup>
                    </m:num>
                    <m:den>
                      <m:r>
                        <m:t>U</m:t>
                      </m:r>
                    </m:den>
                  </m:f>
                </m:e>
              </m:d>
            </m:e>
            <m:sup>
              <m:r>
                <m:t>2</m:t>
              </m:r>
            </m:sup>
          </m:sSup>
          <m:r>
            <m:rPr>
              <m:sty m:val="p"/>
            </m:rPr>
            <m:t>,</m:t>
          </m:r>
          <m:r>
            <m:t>  </m:t>
          </m:r>
          <m:r>
            <m:t>η</m:t>
          </m:r>
          <m:r>
            <m:rPr>
              <m:sty m:val="p"/>
            </m:rPr>
            <m:t>=</m:t>
          </m:r>
          <m:f>
            <m:fPr>
              <m:type m:val="bar"/>
            </m:fPr>
            <m:num>
              <m:sSup>
                <m:e>
                  <m:r>
                    <m:t>U</m:t>
                  </m:r>
                </m:e>
                <m:sup>
                  <m:r>
                    <m:rPr>
                      <m:sty m:val="p"/>
                    </m:rPr>
                    <m:t>″</m:t>
                  </m:r>
                </m:sup>
              </m:sSup>
            </m:num>
            <m:den>
              <m:r>
                <m:t>U</m:t>
              </m:r>
            </m:den>
          </m:f>
          <m:r>
            <m:rPr>
              <m:sty m:val="p"/>
            </m:rPr>
            <m:t>,</m:t>
          </m:r>
        </m:oMath>
      </m:oMathPara>
    </w:p>
    <w:p>
      <w:pPr>
        <w:pStyle w:val="FirstParagraph"/>
      </w:pPr>
      <w:r>
        <w:t xml:space="preserve">leading to</w:t>
      </w:r>
      <w:r>
        <w:t xml:space="preserve"> </w:t>
      </w:r>
      <m:oMath>
        <m:sSub>
          <m:e>
            <m:r>
              <m:t>n</m:t>
            </m:r>
          </m:e>
          <m:sub>
            <m:r>
              <m:t>s</m:t>
            </m:r>
          </m:sub>
        </m:sSub>
        <m:r>
          <m:rPr>
            <m:sty m:val="p"/>
          </m:rPr>
          <m:t>=</m:t>
        </m:r>
        <m:r>
          <m:t>1</m:t>
        </m:r>
        <m:r>
          <m:rPr>
            <m:sty m:val="p"/>
          </m:rPr>
          <m:t>−</m:t>
        </m:r>
        <m:r>
          <m:t>6</m:t>
        </m:r>
        <m:r>
          <m:t>ϵ</m:t>
        </m:r>
        <m:r>
          <m:rPr>
            <m:sty m:val="p"/>
          </m:rPr>
          <m:t>+</m:t>
        </m:r>
        <m:r>
          <m:t>2</m:t>
        </m:r>
        <m:r>
          <m:t>η</m:t>
        </m:r>
      </m:oMath>
      <w:r>
        <w:t xml:space="preserve"> </w:t>
      </w:r>
      <w:r>
        <w:t xml:space="preserve">and</w:t>
      </w:r>
      <w:r>
        <w:t xml:space="preserve"> </w:t>
      </w:r>
      <m:oMath>
        <m:r>
          <m:t>r</m:t>
        </m:r>
        <m:r>
          <m:rPr>
            <m:sty m:val="p"/>
          </m:rPr>
          <m:t>=</m:t>
        </m:r>
        <m:r>
          <m:t>16</m:t>
        </m:r>
        <m:r>
          <m:t>ϵ</m:t>
        </m:r>
      </m:oMath>
      <w:r>
        <w:t xml:space="preserve">. For</w:t>
      </w:r>
      <w:r>
        <w:t xml:space="preserve"> </w:t>
      </w:r>
      <w:r>
        <w:t xml:space="preserve">$(\beta,\Delta,\chi_{0})=(0.3,0.5M_{\rm Pl},5M_{\rm Pl})$</w:t>
      </w:r>
      <w:r>
        <w:t xml:space="preserve"> </w:t>
      </w:r>
      <w:r>
        <w:t xml:space="preserve">we find</w:t>
      </w:r>
      <w:r>
        <w:t xml:space="preserve"> </w:t>
      </w:r>
      <m:oMath>
        <m:sSub>
          <m:e>
            <m:r>
              <m:t>n</m:t>
            </m:r>
          </m:e>
          <m:sub>
            <m:r>
              <m:t>s</m:t>
            </m:r>
          </m:sub>
        </m:sSub>
        <m:r>
          <m:rPr>
            <m:sty m:val="p"/>
          </m:rPr>
          <m:t>=</m:t>
        </m:r>
        <m:r>
          <m:t>0.9647</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t>
      </w:r>
      <w:r>
        <w:t xml:space="preserve">at</w:t>
      </w:r>
      <w:r>
        <w:t xml:space="preserve"> </w:t>
      </w:r>
      <m:oMath>
        <m:sSub>
          <m:e>
            <m:r>
              <m:t>k</m:t>
            </m:r>
          </m:e>
          <m:sub>
            <m:r>
              <m:rPr>
                <m:sty m:val="p"/>
              </m:rPr>
              <m:t>⋆</m:t>
            </m:r>
          </m:sub>
        </m:sSub>
        <m:r>
          <m:rPr>
            <m:sty m:val="p"/>
          </m:rPr>
          <m:t>=</m:t>
        </m:r>
        <m:r>
          <m:t>0.05</m:t>
        </m:r>
        <m:r>
          <m:t> </m:t>
        </m:r>
        <m:sSup>
          <m:e>
            <m:r>
              <m:rPr>
                <m:sty m:val="p"/>
              </m:rPr>
              <m:t>M</m:t>
            </m:r>
            <m:r>
              <m:rPr>
                <m:sty m:val="p"/>
              </m:rPr>
              <m:t>p</m:t>
            </m:r>
            <m:r>
              <m:rPr>
                <m:sty m:val="p"/>
              </m:rPr>
              <m:t>c</m:t>
            </m:r>
          </m:e>
          <m:sup>
            <m:r>
              <m:rPr>
                <m:sty m:val="p"/>
              </m:rPr>
              <m:t>−</m:t>
            </m:r>
            <m:r>
              <m:t>1</m:t>
            </m:r>
          </m:sup>
        </m:sSup>
      </m:oMath>
      <w:r>
        <w:t xml:space="preserve">, compatible with the</w:t>
      </w:r>
      <w:r>
        <w:t xml:space="preserve"> </w:t>
      </w:r>
      <m:oMath>
        <m:r>
          <m:t>α</m:t>
        </m:r>
      </m:oMath>
      <w:r>
        <w:t xml:space="preserve">-attractor envelope. Observable amplitudes obey</w:t>
      </w:r>
      <w:r>
        <w:t xml:space="preserve"> </w:t>
      </w:r>
      <w:r>
        <w:t xml:space="preserve">$U/(\epsilon M_{\rm Pl}^{4})=A_{s}$</w:t>
      </w:r>
      <w:r>
        <w:t xml:space="preserve"> </w:t>
      </w:r>
      <w:r>
        <w:t xml:space="preserve">and we fix</w:t>
      </w:r>
      <w:r>
        <w:t xml:space="preserve"> </w:t>
      </w:r>
      <m:oMath>
        <m:sSub>
          <m:e>
            <m:r>
              <m:t>A</m:t>
            </m:r>
          </m:e>
          <m:sub>
            <m:r>
              <m:t>s</m:t>
            </m:r>
          </m:sub>
        </m:sSub>
        <m:r>
          <m:rPr>
            <m:sty m:val="p"/>
          </m:rPr>
          <m:t>=</m:t>
        </m:r>
        <m:r>
          <m:t>2.1</m:t>
        </m:r>
        <m:r>
          <m:rPr>
            <m:sty m:val="p"/>
          </m:rPr>
          <m:t>×</m:t>
        </m:r>
        <m:sSup>
          <m:e>
            <m:r>
              <m:t>10</m:t>
            </m:r>
          </m:e>
          <m:sup>
            <m:r>
              <m:rPr>
                <m:sty m:val="p"/>
              </m:rPr>
              <m:t>−</m:t>
            </m:r>
            <m:r>
              <m:t>9</m:t>
            </m:r>
          </m:sup>
        </m:sSup>
      </m:oMath>
      <w:r>
        <w:t xml:space="preserve">. The running of the scalar tilt is governed by</w:t>
      </w:r>
      <w:r>
        <w:t xml:space="preserve"> </w:t>
      </w:r>
      <m:oMath>
        <m:sSup>
          <m:e>
            <m:r>
              <m:t>F</m:t>
            </m:r>
          </m:e>
          <m:sup>
            <m:r>
              <m:rPr>
                <m:sty m:val="p"/>
              </m:rPr>
              <m:t>‴</m:t>
            </m:r>
          </m:sup>
        </m:sSup>
        <m:r>
          <m:rPr>
            <m:sty m:val="p"/>
          </m:rPr>
          <m:t>/</m:t>
        </m:r>
        <m:r>
          <m:t>F</m:t>
        </m:r>
      </m:oMath>
      <w:r>
        <w:t xml:space="preserve">, allowing</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while maintaining the Planck-preferred</w:t>
      </w:r>
      <w:r>
        <w:t xml:space="preserve"> </w:t>
      </w:r>
      <m:oMath>
        <m:sSub>
          <m:e>
            <m:r>
              <m:t>n</m:t>
            </m:r>
          </m:e>
          <m:sub>
            <m:r>
              <m:t>s</m:t>
            </m:r>
          </m:sub>
        </m:sSub>
      </m:oMath>
      <w:r>
        <w:t xml:space="preserve">.</w:t>
      </w:r>
    </w:p>
    <w:bookmarkStart w:id="12" w:name="tab:constraints"/>
    <w:p>
      <w:pPr>
        <w:pStyle w:val="TableCaption"/>
      </w:pPr>
      <w:r>
        <w:t xml:space="preserve">Posterior means and 68% credible intervals obtained with</w:t>
      </w:r>
      <w:r>
        <w:t xml:space="preserve"> </w:t>
      </w:r>
      <w:r>
        <w:rPr>
          <w:smallCaps/>
        </w:rPr>
        <w:t xml:space="preserve">CLASS</w:t>
      </w:r>
      <w:r>
        <w:t xml:space="preserve">+</w:t>
      </w:r>
      <w:r>
        <w:rPr>
          <w:smallCaps/>
        </w:rPr>
        <w:t xml:space="preserve">MontePython</w:t>
      </w:r>
      <w:r>
        <w:t xml:space="preserve"> </w:t>
      </w:r>
      <w:r>
        <w:t xml:space="preserve">(emcee sampler) and Planck 2018 likelihoods.</w:t>
      </w:r>
    </w:p>
    <w:tbl>
      <w:tblPr>
        <w:tblStyle w:val="Table"/>
        <w:tblW w:type="auto" w:w="0"/>
        <w:tblLook w:firstRow="1" w:lastRow="0" w:firstColumn="0" w:lastColumn="0" w:noHBand="0" w:noVBand="0" w:val="0020"/>
        <w:tblCaption w:val="Posterior means and 68% credible intervals obtained with CLASS+MontePython (emcee sampler) and Planck 2018 likelihoods."/>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credible interval</w:t>
            </w:r>
          </w:p>
        </w:tc>
      </w:tr>
      <w:tr>
        <w:tc>
          <w:tcPr/>
          <w:p>
            <w:pPr>
              <w:pStyle w:val="Compact"/>
              <w:jc w:val="left"/>
            </w:pPr>
            <m:oMath>
              <m:sSub>
                <m:e>
                  <m:r>
                    <m:t>A</m:t>
                  </m:r>
                </m:e>
                <m:sub>
                  <m:r>
                    <m:t>s</m:t>
                  </m:r>
                </m:sub>
              </m:sSub>
              <m:r>
                <m:rPr>
                  <m:sty m:val="p"/>
                </m:rPr>
                <m:t>/</m:t>
              </m:r>
              <m:sSup>
                <m:e>
                  <m:r>
                    <m:t>10</m:t>
                  </m:r>
                </m:e>
                <m:sup>
                  <m:r>
                    <m:rPr>
                      <m:sty m:val="p"/>
                    </m:rPr>
                    <m:t>−</m:t>
                  </m:r>
                  <m:r>
                    <m:t>9</m:t>
                  </m:r>
                </m:sup>
              </m:sSup>
            </m:oMath>
          </w:p>
        </w:tc>
        <w:tc>
          <w:tcPr/>
          <w:p>
            <w:pPr>
              <w:pStyle w:val="Compact"/>
              <w:jc w:val="center"/>
            </w:pPr>
            <w:r>
              <w:t xml:space="preserve">2.10</w:t>
            </w:r>
          </w:p>
        </w:tc>
        <w:tc>
          <w:tcPr/>
          <w:p>
            <w:pPr>
              <w:pStyle w:val="Compact"/>
              <w:jc w:val="center"/>
            </w:pPr>
            <m:oMath>
              <m:r>
                <m:rPr>
                  <m:sty m:val="p"/>
                </m:rPr>
                <m:t>±</m:t>
              </m:r>
              <m:r>
                <m:t>0.03</m:t>
              </m:r>
            </m:oMath>
          </w:p>
        </w:tc>
      </w:tr>
      <w:tr>
        <w:tc>
          <w:tcPr/>
          <w:p>
            <w:pPr>
              <w:pStyle w:val="Compact"/>
              <w:jc w:val="left"/>
            </w:pPr>
            <m:oMath>
              <m:sSub>
                <m:e>
                  <m:r>
                    <m:t>n</m:t>
                  </m:r>
                </m:e>
                <m:sub>
                  <m:r>
                    <m:t>s</m:t>
                  </m:r>
                </m:sub>
              </m:sSub>
            </m:oMath>
          </w:p>
        </w:tc>
        <w:tc>
          <w:tcPr/>
          <w:p>
            <w:pPr>
              <w:pStyle w:val="Compact"/>
              <w:jc w:val="center"/>
            </w:pPr>
            <w:r>
              <w:t xml:space="preserve">0.9647</w:t>
            </w:r>
          </w:p>
        </w:tc>
        <w:tc>
          <w:tcPr/>
          <w:p>
            <w:pPr>
              <w:pStyle w:val="Compact"/>
              <w:jc w:val="center"/>
            </w:pPr>
            <m:oMath>
              <m:r>
                <m:rPr>
                  <m:sty m:val="p"/>
                </m:rPr>
                <m:t>±</m:t>
              </m:r>
              <m:r>
                <m:t>0.0041</m:t>
              </m:r>
            </m:oMath>
          </w:p>
        </w:tc>
      </w:tr>
      <w:tr>
        <w:tc>
          <w:tcPr/>
          <w:p>
            <w:pPr>
              <w:pStyle w:val="Compact"/>
              <w:jc w:val="left"/>
            </w:pPr>
            <m:oMath>
              <m:r>
                <m:t>r</m:t>
              </m:r>
            </m:oMath>
          </w:p>
        </w:tc>
        <w:tc>
          <w:tcPr/>
          <w:p>
            <w:pPr>
              <w:pStyle w:val="Compact"/>
              <w:jc w:val="center"/>
            </w:pPr>
            <m:oMath>
              <m:r>
                <m:t>6.2</m:t>
              </m:r>
              <m:r>
                <m:rPr>
                  <m:sty m:val="p"/>
                </m:rPr>
                <m:t>×</m:t>
              </m:r>
              <m:sSup>
                <m:e>
                  <m:r>
                    <m:t>10</m:t>
                  </m:r>
                </m:e>
                <m:sup>
                  <m:r>
                    <m:rPr>
                      <m:sty m:val="p"/>
                    </m:rPr>
                    <m:t>−</m:t>
                  </m:r>
                  <m:r>
                    <m:t>3</m:t>
                  </m:r>
                </m:sup>
              </m:sSup>
            </m:oMath>
          </w:p>
        </w:tc>
        <w:tc>
          <w:tcPr/>
          <w:p>
            <w:pPr>
              <w:pStyle w:val="Compact"/>
              <w:jc w:val="center"/>
            </w:pPr>
            <m:oMath>
              <m:sSubSup>
                <m:e>
                  <m:r>
                    <m:t>​</m:t>
                  </m:r>
                </m:e>
                <m:sub>
                  <m:r>
                    <m:rPr>
                      <m:sty m:val="p"/>
                    </m:rPr>
                    <m:t>−</m:t>
                  </m:r>
                  <m:r>
                    <m:t>1.7</m:t>
                  </m:r>
                </m:sub>
                <m:sup>
                  <m:r>
                    <m:rPr>
                      <m:sty m:val="p"/>
                    </m:rPr>
                    <m:t>+</m:t>
                  </m:r>
                  <m:r>
                    <m:t>2.0</m:t>
                  </m:r>
                </m:sup>
              </m:sSubSup>
              <m:r>
                <m:rPr>
                  <m:sty m:val="p"/>
                </m:rPr>
                <m:t>×</m:t>
              </m:r>
              <m:sSup>
                <m:e>
                  <m:r>
                    <m:t>10</m:t>
                  </m:r>
                </m:e>
                <m:sup>
                  <m:r>
                    <m:rPr>
                      <m:sty m:val="p"/>
                    </m:rPr>
                    <m:t>−</m:t>
                  </m:r>
                  <m:r>
                    <m:t>3</m:t>
                  </m:r>
                </m:sup>
              </m:sSup>
            </m:oMath>
          </w:p>
        </w:tc>
      </w:tr>
    </w:tbl>
    <w:bookmarkEnd w:id="12"/>
    <w:p>
      <w:pPr>
        <w:pStyle w:val="BodyText"/>
      </w:pPr>
      <w:bookmarkStart w:id="13" w:name="tab:constraints"/>
      <w:bookmarkEnd w:id="13"/>
    </w:p>
    <w:bookmarkEnd w:id="14"/>
    <w:bookmarkStart w:id="15" w:name="sec:constraints"/>
    <w:p>
      <w:pPr>
        <w:pStyle w:val="Heading1"/>
      </w:pPr>
      <w:r>
        <w:t xml:space="preserve">Cosmological Constraints and Pipeline</w:t>
      </w:r>
    </w:p>
    <w:p>
      <w:pPr>
        <w:pStyle w:val="FirstParagraph"/>
      </w:pPr>
      <w:r>
        <w:t xml:space="preserve">Posterior sampling is executed with</w:t>
      </w:r>
      <w:r>
        <w:t xml:space="preserve"> </w:t>
      </w:r>
      <w:r>
        <w:rPr>
          <w:smallCaps/>
        </w:rPr>
        <w:t xml:space="preserve">MontePython</w:t>
      </w:r>
      <w:r>
        <w:t xml:space="preserve"> </w:t>
      </w:r>
      <w:r>
        <w:t xml:space="preserve">(emcee) interfaced to</w:t>
      </w:r>
      <w:r>
        <w:t xml:space="preserve"> </w:t>
      </w:r>
      <w:r>
        <w:rPr>
          <w:smallCaps/>
        </w:rPr>
        <w:t xml:space="preserve">CLASS</w:t>
      </w:r>
      <w:r>
        <w:t xml:space="preserve"> </w:t>
      </w:r>
      <w:r>
        <w:t xml:space="preserve">(release 3.2) using Planck TT,TE,EE+lowE+lensing spectra and BAO priors. We record chains, covariance matrices, and configuration files for each run to guarantee traceability and reproducibility (see</w:t>
      </w:r>
      <w:r>
        <w:t xml:space="preserve"> </w:t>
      </w:r>
      <w:hyperlink w:anchor="sec:data">
        <w:r>
          <w:rPr>
            <w:rStyle w:val="Hyperlink"/>
          </w:rPr>
          <w:t xml:space="preserve">15</w:t>
        </w:r>
      </w:hyperlink>
      <w:r>
        <w:t xml:space="preserve">).</w:t>
      </w:r>
    </w:p>
    <w:bookmarkEnd w:id="15"/>
    <w:bookmarkStart w:id="18" w:name="sec:nondegeneracy"/>
    <w:p>
      <w:pPr>
        <w:pStyle w:val="Heading1"/>
      </w:pPr>
      <w:r>
        <w:t xml:space="preserve">Non-degeneracy with</w:t>
      </w:r>
      <w:r>
        <w:t xml:space="preserve"> </w:t>
      </w:r>
      <m:oMath>
        <m:r>
          <m:t>α</m:t>
        </m:r>
      </m:oMath>
      <w:r>
        <w:t xml:space="preserve">-attractors</w:t>
      </w:r>
    </w:p>
    <w:p>
      <w:pPr>
        <w:pStyle w:val="FirstParagraph"/>
      </w:pPr>
      <w:r>
        <w:t xml:space="preserve">Canonical</w:t>
      </w:r>
      <w:r>
        <w:t xml:space="preserve"> </w:t>
      </w:r>
      <m:oMath>
        <m:r>
          <m:t>α</m:t>
        </m:r>
      </m:oMath>
      <w:r>
        <w:t xml:space="preserve">-attractors obey</w:t>
      </w:r>
    </w:p>
    <w:p>
      <w:pPr>
        <w:pStyle w:val="BodyText"/>
      </w:pPr>
      <m:oMathPara>
        <m:oMathParaPr>
          <m:jc m:val="center"/>
        </m:oMathParaPr>
        <m:oMath>
          <m:sSubSup>
            <m:e>
              <m:r>
                <m:t>α</m:t>
              </m:r>
            </m:e>
            <m:sub>
              <m:r>
                <m:t>s</m:t>
              </m:r>
            </m:sub>
            <m:sup>
              <m:r>
                <m:rPr>
                  <m:sty m:val="p"/>
                </m:rPr>
                <m:t>(</m:t>
              </m:r>
              <m:r>
                <m:t>α</m:t>
              </m:r>
              <m:r>
                <m:rPr>
                  <m:nor/>
                  <m:sty m:val="p"/>
                </m:rPr>
                <m:t>-attr</m:t>
              </m:r>
              <m:r>
                <m:rPr>
                  <m:sty m:val="p"/>
                </m:rPr>
                <m:t>)</m:t>
              </m:r>
            </m:sup>
          </m:sSubSup>
          <m:r>
            <m:rPr>
              <m:sty m:val="p"/>
            </m:rPr>
            <m:t>=</m:t>
          </m:r>
          <m:r>
            <m:rPr>
              <m:sty m:val="p"/>
            </m:rPr>
            <m:t>−</m:t>
          </m:r>
          <m:f>
            <m:fPr>
              <m:type m:val="bar"/>
            </m:fPr>
            <m:num>
              <m:r>
                <m:t>2</m:t>
              </m:r>
            </m:num>
            <m:den>
              <m:sSup>
                <m:e>
                  <m:r>
                    <m:t>N</m:t>
                  </m:r>
                </m:e>
                <m:sup>
                  <m:r>
                    <m:t>2</m:t>
                  </m:r>
                </m:sup>
              </m:sSup>
            </m:den>
          </m:f>
          <m:r>
            <m:rPr>
              <m:sty m:val="p"/>
            </m:rPr>
            <m:t>+</m:t>
          </m:r>
          <m:r>
            <m:rPr>
              <m:scr m:val="script"/>
              <m:sty m:val="p"/>
            </m:rPr>
            <m:t>O</m:t>
          </m:r>
          <m:d>
            <m:dPr>
              <m:begChr m:val="("/>
              <m:sepChr m:val=""/>
              <m:endChr m:val=")"/>
              <m:grow/>
            </m:dPr>
            <m:e>
              <m:f>
                <m:fPr>
                  <m:type m:val="bar"/>
                </m:fPr>
                <m:num>
                  <m:r>
                    <m:t>1</m:t>
                  </m:r>
                </m:num>
                <m:den>
                  <m:sSup>
                    <m:e>
                      <m:r>
                        <m:t>N</m:t>
                      </m:r>
                    </m:e>
                    <m:sup>
                      <m:r>
                        <m:t>3</m:t>
                      </m:r>
                    </m:sup>
                  </m:sSup>
                </m:den>
              </m:f>
            </m:e>
          </m:d>
          <m:r>
            <m:rPr>
              <m:sty m:val="p"/>
            </m:rPr>
            <m:t>,</m:t>
          </m:r>
        </m:oMath>
      </m:oMathPara>
    </w:p>
    <w:p>
      <w:pPr>
        <w:pStyle w:val="FirstParagraph"/>
      </w:pPr>
      <w:r>
        <w:t xml:space="preserve">bounding</w:t>
      </w:r>
      <w:r>
        <w:t xml:space="preserve"> </w:t>
      </w:r>
      <m:oMath>
        <m:r>
          <m:rPr>
            <m:sty m:val="p"/>
          </m:rPr>
          <m:t>|</m:t>
        </m:r>
        <m:sSub>
          <m:e>
            <m:r>
              <m:t>α</m:t>
            </m:r>
          </m:e>
          <m:sub>
            <m:r>
              <m:t>s</m:t>
            </m:r>
          </m:sub>
        </m:sSub>
        <m:r>
          <m:rPr>
            <m:sty m:val="p"/>
          </m:rPr>
          <m:t>|</m:t>
        </m:r>
        <m:r>
          <m:rPr>
            <m:sty m:val="p"/>
          </m:rPr>
          <m:t>≲</m:t>
        </m:r>
        <m:r>
          <m:t>6</m:t>
        </m:r>
        <m:r>
          <m:rPr>
            <m:sty m:val="p"/>
          </m:rPr>
          <m:t>×</m:t>
        </m:r>
        <m:sSup>
          <m:e>
            <m:r>
              <m:t>10</m:t>
            </m:r>
          </m:e>
          <m:sup>
            <m:r>
              <m:rPr>
                <m:sty m:val="p"/>
              </m:rPr>
              <m:t>−</m:t>
            </m:r>
            <m:r>
              <m:t>4</m:t>
            </m:r>
          </m:sup>
        </m:sSup>
      </m:oMath>
      <w:r>
        <w:t xml:space="preserve"> </w:t>
      </w:r>
      <w:r>
        <w:t xml:space="preserve">for</w:t>
      </w:r>
      <w:r>
        <w:t xml:space="preserve"> </w:t>
      </w:r>
      <m:oMath>
        <m:r>
          <m:t>N</m:t>
        </m:r>
        <m:r>
          <m:rPr>
            <m:sty m:val="p"/>
          </m:rPr>
          <m:t>=</m:t>
        </m:r>
        <m:r>
          <m:t>50</m:t>
        </m:r>
      </m:oMath>
      <w:r>
        <w:t xml:space="preserve">–60. Threshold-induced screening introduces unsuppressed</w:t>
      </w:r>
      <w:r>
        <w:t xml:space="preserve"> </w:t>
      </w:r>
      <m:oMath>
        <m:sSup>
          <m:e>
            <m:r>
              <m:t>F</m:t>
            </m:r>
          </m:e>
          <m:sup>
            <m:r>
              <m:rPr>
                <m:sty m:val="p"/>
              </m:rPr>
              <m:t>‴</m:t>
            </m:r>
          </m:sup>
        </m:sSup>
        <m:r>
          <m:rPr>
            <m:sty m:val="p"/>
          </m:rPr>
          <m:t>/</m:t>
        </m:r>
        <m:r>
          <m:t>F</m:t>
        </m:r>
      </m:oMath>
      <w:r>
        <w:t xml:space="preserve"> </w:t>
      </w:r>
      <w:r>
        <w:t xml:space="preserve">contributions,</w:t>
      </w:r>
    </w:p>
    <w:p>
      <w:pPr>
        <w:pStyle w:val="BodyText"/>
      </w:pPr>
      <m:oMathPara>
        <m:oMathParaPr>
          <m:jc m:val="center"/>
        </m:oMathParaPr>
        <m:oMath>
          <m:sSub>
            <m:e>
              <m:r>
                <m:t>α</m:t>
              </m:r>
            </m:e>
            <m:sub>
              <m:r>
                <m:t>s</m:t>
              </m:r>
            </m:sub>
          </m:sSub>
          <m:r>
            <m:rPr>
              <m:sty m:val="p"/>
            </m:rPr>
            <m:t>≃</m:t>
          </m:r>
          <m:sSubSup>
            <m:e>
              <m:r>
                <m:t>α</m:t>
              </m:r>
            </m:e>
            <m:sub>
              <m:r>
                <m:t>s</m:t>
              </m:r>
            </m:sub>
            <m:sup>
              <m:r>
                <m:rPr>
                  <m:sty m:val="p"/>
                </m:rPr>
                <m:t>(</m:t>
              </m:r>
              <m:r>
                <m:t>α</m:t>
              </m:r>
              <m:r>
                <m:rPr>
                  <m:nor/>
                  <m:sty m:val="p"/>
                </m:rPr>
                <m:t>-attr</m:t>
              </m:r>
              <m:r>
                <m:rPr>
                  <m:sty m:val="p"/>
                </m:rPr>
                <m:t>)</m:t>
              </m:r>
            </m:sup>
          </m:sSubSup>
          <m:r>
            <m:rPr>
              <m:sty m:val="p"/>
            </m:rPr>
            <m:t>−</m:t>
          </m:r>
          <m:r>
            <m:t>2</m:t>
          </m:r>
          <m:r>
            <m:t> </m:t>
          </m:r>
          <m:r>
            <m:rPr>
              <m:sty m:val="p"/>
            </m:rPr>
            <m:t>Δ</m:t>
          </m:r>
          <m:sSubSup>
            <m:e>
              <m:r>
                <m:t>ξ</m:t>
              </m:r>
            </m:e>
            <m:sub>
              <m:r>
                <m:rPr>
                  <m:nor/>
                  <m:sty m:val="p"/>
                </m:rPr>
                <m:t>thr</m:t>
              </m:r>
            </m:sub>
            <m:sup>
              <m:r>
                <m:t>2</m:t>
              </m:r>
            </m:sup>
          </m:sSubSup>
          <m:r>
            <m:rPr>
              <m:sty m:val="p"/>
            </m:rPr>
            <m:t>,</m:t>
          </m:r>
          <m:r>
            <m:t>  </m:t>
          </m:r>
          <m:r>
            <m:rPr>
              <m:sty m:val="p"/>
            </m:rPr>
            <m:t>Δ</m:t>
          </m:r>
          <m:sSubSup>
            <m:e>
              <m:r>
                <m:t>ξ</m:t>
              </m:r>
            </m:e>
            <m:sub>
              <m:r>
                <m:rPr>
                  <m:nor/>
                  <m:sty m:val="p"/>
                </m:rPr>
                <m:t>thr</m:t>
              </m:r>
            </m:sub>
            <m:sup>
              <m:r>
                <m:t>2</m:t>
              </m:r>
            </m:sup>
          </m:sSubSup>
          <m:r>
            <m:rPr>
              <m:sty m:val="p"/>
            </m:rPr>
            <m:t>∝</m:t>
          </m:r>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r>
            <m:t>K</m:t>
          </m:r>
          <m:r>
            <m:rPr>
              <m:sty m:val="p"/>
            </m:rPr>
            <m:t>(</m:t>
          </m:r>
          <m:r>
            <m:t>χ</m:t>
          </m:r>
          <m:sSup>
            <m:e>
              <m:r>
                <m:rPr>
                  <m:sty m:val="p"/>
                </m:rPr>
                <m:t>)</m:t>
              </m:r>
            </m:e>
            <m:sup>
              <m:r>
                <m:rPr>
                  <m:sty m:val="p"/>
                </m:rPr>
                <m:t>−</m:t>
              </m:r>
              <m:r>
                <m:t>3</m:t>
              </m:r>
              <m:r>
                <m:rPr>
                  <m:sty m:val="p"/>
                </m:rPr>
                <m:t>/</m:t>
              </m:r>
              <m:r>
                <m:t>2</m:t>
              </m:r>
            </m:sup>
          </m:sSup>
          <m:r>
            <m:rPr>
              <m:sty m:val="p"/>
            </m:rPr>
            <m:t>,</m:t>
          </m:r>
        </m:oMath>
      </m:oMathPara>
    </w:p>
    <w:p>
      <w:pPr>
        <w:pStyle w:val="FirstParagraph"/>
      </w:pPr>
      <w:r>
        <w:t xml:space="preserve">breaking the strict slow-roll hierarchy near the screen. Under the priors considered here only</w:t>
      </w:r>
      <w:r>
        <w:t xml:space="preserve"> </w:t>
      </w:r>
      <m:oMath>
        <m:r>
          <m:rPr>
            <m:sty m:val="p"/>
          </m:rPr>
          <m:t>∼</m:t>
        </m:r>
        <m:r>
          <m:t>2.7</m:t>
        </m:r>
        <m:r>
          <m:rPr>
            <m:sty m:val="p"/>
          </m:rPr>
          <m:t>%</m:t>
        </m:r>
      </m:oMath>
      <w:r>
        <w:t xml:space="preserve"> </w:t>
      </w:r>
      <w:r>
        <w:t xml:space="preserve">of the ASG posterior overlaps the 95% KDE of the</w:t>
      </w:r>
      <w:r>
        <w:t xml:space="preserve"> </w:t>
      </w:r>
      <m:oMath>
        <m:r>
          <m:t>α</m:t>
        </m:r>
      </m:oMath>
      <w:r>
        <w:t xml:space="preserve">-attractor ensemble, while</w:t>
      </w:r>
      <w:r>
        <w:t xml:space="preserve"> </w:t>
      </w:r>
      <m:oMath>
        <m:r>
          <m:rPr>
            <m:sty m:val="p"/>
          </m:rPr>
          <m:t>∼</m:t>
        </m:r>
        <m:r>
          <m:t>90</m:t>
        </m:r>
        <m:r>
          <m:rPr>
            <m:sty m:val="p"/>
          </m:rPr>
          <m:t>%</m:t>
        </m:r>
      </m:oMath>
      <w:r>
        <w:t xml:space="preserve"> </w:t>
      </w:r>
      <w:r>
        <w:t xml:space="preserve">satisfies</w:t>
      </w:r>
      <w:r>
        <w:t xml:space="preserve"> </w:t>
      </w:r>
      <m:oMath>
        <m:r>
          <m:rPr>
            <m:sty m:val="p"/>
          </m:rPr>
          <m:t>|</m:t>
        </m:r>
        <m:sSub>
          <m:e>
            <m:r>
              <m:t>α</m:t>
            </m:r>
          </m:e>
          <m:sub>
            <m:r>
              <m:t>s</m:t>
            </m:r>
          </m:sub>
        </m:sSub>
        <m:r>
          <m:rPr>
            <m:sty m:val="p"/>
          </m:rPr>
          <m:t>|</m:t>
        </m:r>
        <m:r>
          <m:rPr>
            <m:sty m:val="p"/>
          </m:rPr>
          <m:t>&gt;</m:t>
        </m:r>
        <m:sSup>
          <m:e>
            <m:r>
              <m:t>10</m:t>
            </m:r>
          </m:e>
          <m:sup>
            <m:r>
              <m:rPr>
                <m:sty m:val="p"/>
              </m:rPr>
              <m:t>−</m:t>
            </m:r>
            <m:r>
              <m:t>3</m:t>
            </m:r>
          </m:sup>
        </m:sSup>
      </m:oMath>
      <w:r>
        <w:t xml:space="preserve">.</w:t>
      </w:r>
    </w:p>
    <w:bookmarkStart w:id="16" w:name="tab:forecasts"/>
    <w:p>
      <w:pPr>
        <w:pStyle w:val="TableCaption"/>
      </w:pPr>
      <w:r>
        <w:t xml:space="preserve">Forecast detectability for the benchmark</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w:t>
      </w:r>
    </w:p>
    <w:tbl>
      <w:tblPr>
        <w:tblStyle w:val="Table"/>
        <w:tblW w:type="auto" w:w="0"/>
        <w:tblLook w:firstRow="1" w:lastRow="0" w:firstColumn="0" w:lastColumn="0" w:noHBand="0" w:noVBand="0" w:val="0020"/>
        <w:tblCaption w:val="Forecast detectability for the benchmark \alpha_{s}=-1.5\times10^{-3}."/>
      </w:tblPr>
      <w:tblGrid>
        <w:gridCol w:w="1980"/>
        <w:gridCol w:w="1980"/>
        <w:gridCol w:w="1980"/>
        <w:gridCol w:w="1980"/>
      </w:tblGrid>
      <w:tr>
        <w:trPr>
          <w:tblHeader w:val="on"/>
        </w:trPr>
        <w:tc>
          <w:tcPr/>
          <w:p>
            <w:pPr>
              <w:pStyle w:val="Compact"/>
              <w:jc w:val="left"/>
            </w:pPr>
            <w:r>
              <w:t xml:space="preserve">Experiment</w:t>
            </w:r>
          </w:p>
        </w:tc>
        <w:tc>
          <w:tcPr/>
          <w:p>
            <w:pPr>
              <w:pStyle w:val="Compact"/>
              <w:jc w:val="center"/>
            </w:pPr>
            <m:oMath>
              <m:r>
                <m:t>σ</m:t>
              </m:r>
              <m:r>
                <m:rPr>
                  <m:sty m:val="p"/>
                </m:rPr>
                <m:t>(</m:t>
              </m:r>
              <m:sSub>
                <m:e>
                  <m:r>
                    <m:t>α</m:t>
                  </m:r>
                </m:e>
                <m:sub>
                  <m:r>
                    <m:t>s</m:t>
                  </m:r>
                </m:sub>
              </m:sSub>
              <m:r>
                <m:rPr>
                  <m:sty m:val="p"/>
                </m:rPr>
                <m:t>)</m:t>
              </m:r>
            </m:oMath>
          </w:p>
        </w:tc>
        <w:tc>
          <w:tcPr/>
          <w:p>
            <w:pPr>
              <w:pStyle w:val="Compact"/>
              <w:jc w:val="center"/>
            </w:pPr>
            <w:r>
              <w:t xml:space="preserve">Median</w:t>
            </w:r>
            <w:r>
              <w:t xml:space="preserve"> </w:t>
            </w:r>
            <m:oMath>
              <m:r>
                <m:t>S</m:t>
              </m:r>
              <m:r>
                <m:rPr>
                  <m:sty m:val="p"/>
                </m:rPr>
                <m:t>/</m:t>
              </m:r>
              <m:r>
                <m:t>N</m:t>
              </m:r>
            </m:oMath>
          </w:p>
        </w:tc>
        <w:tc>
          <w:tcPr/>
          <w:p>
            <w:pPr>
              <w:pStyle w:val="Compact"/>
              <w:jc w:val="center"/>
            </w:pPr>
            <m:oMath>
              <m:r>
                <m:rPr>
                  <m:sty m:val="p"/>
                </m:rPr>
                <m:t>f</m:t>
              </m:r>
              <m:r>
                <m:rPr>
                  <m:sty m:val="p"/>
                </m:rPr>
                <m:t>r</m:t>
              </m:r>
              <m:r>
                <m:rPr>
                  <m:sty m:val="p"/>
                </m:rPr>
                <m:t>a</m:t>
              </m:r>
              <m:r>
                <m:rPr>
                  <m:sty m:val="p"/>
                </m:rPr>
                <m:t>c</m:t>
              </m:r>
              <m:r>
                <m:rPr>
                  <m:sty m:val="p"/>
                </m:rPr>
                <m:t>(</m:t>
              </m:r>
              <m:r>
                <m:t>S</m:t>
              </m:r>
              <m:r>
                <m:rPr>
                  <m:sty m:val="p"/>
                </m:rPr>
                <m:t>/</m:t>
              </m:r>
              <m:r>
                <m:t>N</m:t>
              </m:r>
              <m:r>
                <m:rPr>
                  <m:sty m:val="p"/>
                </m:rPr>
                <m:t>≥</m:t>
              </m:r>
              <m:r>
                <m:t>3</m:t>
              </m:r>
              <m:r>
                <m:rPr>
                  <m:sty m:val="p"/>
                </m:rPr>
                <m:t>)</m:t>
              </m:r>
            </m:oMath>
          </w:p>
        </w:tc>
      </w:tr>
      <w:tr>
        <w:tc>
          <w:tcPr/>
          <w:p>
            <w:pPr>
              <w:pStyle w:val="Compact"/>
              <w:jc w:val="left"/>
            </w:pPr>
            <w:r>
              <w:t xml:space="preserve">Planck 2018</w:t>
            </w:r>
          </w:p>
        </w:tc>
        <w:tc>
          <w:tcPr/>
          <w:p>
            <w:pPr>
              <w:pStyle w:val="Compact"/>
              <w:jc w:val="center"/>
            </w:pPr>
            <m:oMath>
              <m:r>
                <m:t>8</m:t>
              </m:r>
              <m:r>
                <m:rPr>
                  <m:sty m:val="p"/>
                </m:rPr>
                <m:t>×</m:t>
              </m:r>
              <m:sSup>
                <m:e>
                  <m:r>
                    <m:t>10</m:t>
                  </m:r>
                </m:e>
                <m:sup>
                  <m:r>
                    <m:rPr>
                      <m:sty m:val="p"/>
                    </m:rPr>
                    <m:t>−</m:t>
                  </m:r>
                  <m:r>
                    <m:t>4</m:t>
                  </m:r>
                </m:sup>
              </m:sSup>
            </m:oMath>
          </w:p>
        </w:tc>
        <w:tc>
          <w:tcPr/>
          <w:p>
            <w:pPr>
              <w:pStyle w:val="Compact"/>
              <w:jc w:val="center"/>
            </w:pPr>
            <w:r>
              <w:t xml:space="preserve">1.7</w:t>
            </w:r>
          </w:p>
        </w:tc>
        <w:tc>
          <w:tcPr/>
          <w:p>
            <w:pPr>
              <w:pStyle w:val="Compact"/>
              <w:jc w:val="center"/>
            </w:pPr>
            <m:oMath>
              <m:r>
                <m:rPr>
                  <m:sty m:val="p"/>
                </m:rPr>
                <m:t>&lt;</m:t>
              </m:r>
              <m:r>
                <m:t>0.1</m:t>
              </m:r>
              <m:r>
                <m:rPr>
                  <m:sty m:val="p"/>
                </m:rPr>
                <m:t>%</m:t>
              </m:r>
            </m:oMath>
          </w:p>
        </w:tc>
      </w:tr>
      <w:tr>
        <w:tc>
          <w:tcPr/>
          <w:p>
            <w:pPr>
              <w:pStyle w:val="Compact"/>
              <w:jc w:val="left"/>
            </w:pPr>
            <w:r>
              <w:t xml:space="preserve">LiteBIRD</w:t>
            </w:r>
          </w:p>
        </w:tc>
        <w:tc>
          <w:tcPr/>
          <w:p>
            <w:pPr>
              <w:pStyle w:val="Compact"/>
              <w:jc w:val="center"/>
            </w:pPr>
            <m:oMath>
              <m:r>
                <m:t>5</m:t>
              </m:r>
              <m:r>
                <m:rPr>
                  <m:sty m:val="p"/>
                </m:rPr>
                <m:t>×</m:t>
              </m:r>
              <m:sSup>
                <m:e>
                  <m:r>
                    <m:t>10</m:t>
                  </m:r>
                </m:e>
                <m:sup>
                  <m:r>
                    <m:rPr>
                      <m:sty m:val="p"/>
                    </m:rPr>
                    <m:t>−</m:t>
                  </m:r>
                  <m:r>
                    <m:t>4</m:t>
                  </m:r>
                </m:sup>
              </m:sSup>
            </m:oMath>
          </w:p>
        </w:tc>
        <w:tc>
          <w:tcPr/>
          <w:p>
            <w:pPr>
              <w:pStyle w:val="Compact"/>
              <w:jc w:val="center"/>
            </w:pPr>
            <w:r>
              <w:t xml:space="preserve">2.8</w:t>
            </w:r>
          </w:p>
        </w:tc>
        <w:tc>
          <w:tcPr/>
          <w:p>
            <w:pPr>
              <w:pStyle w:val="Compact"/>
              <w:jc w:val="center"/>
            </w:pPr>
            <m:oMath>
              <m:r>
                <m:rPr>
                  <m:sty m:val="p"/>
                </m:rPr>
                <m:t>∼</m:t>
              </m:r>
              <m:r>
                <m:t>36</m:t>
              </m:r>
              <m:r>
                <m:rPr>
                  <m:sty m:val="p"/>
                </m:rPr>
                <m:t>%</m:t>
              </m:r>
            </m:oMath>
          </w:p>
        </w:tc>
      </w:tr>
      <w:tr>
        <w:tc>
          <w:tcPr/>
          <w:p>
            <w:pPr>
              <w:pStyle w:val="Compact"/>
              <w:jc w:val="left"/>
            </w:pPr>
            <w:r>
              <w:t xml:space="preserve">CMB-S4</w:t>
            </w:r>
          </w:p>
        </w:tc>
        <w:tc>
          <w:tcPr/>
          <w:p>
            <w:pPr>
              <w:pStyle w:val="Compact"/>
              <w:jc w:val="center"/>
            </w:pPr>
            <m:oMath>
              <m:r>
                <m:t>4</m:t>
              </m:r>
              <m:r>
                <m:rPr>
                  <m:sty m:val="p"/>
                </m:rPr>
                <m:t>×</m:t>
              </m:r>
              <m:sSup>
                <m:e>
                  <m:r>
                    <m:t>10</m:t>
                  </m:r>
                </m:e>
                <m:sup>
                  <m:r>
                    <m:rPr>
                      <m:sty m:val="p"/>
                    </m:rPr>
                    <m:t>−</m:t>
                  </m:r>
                  <m:r>
                    <m:t>4</m:t>
                  </m:r>
                </m:sup>
              </m:sSup>
            </m:oMath>
          </w:p>
        </w:tc>
        <w:tc>
          <w:tcPr/>
          <w:p>
            <w:pPr>
              <w:pStyle w:val="Compact"/>
              <w:jc w:val="center"/>
            </w:pPr>
            <w:r>
              <w:t xml:space="preserve">3.5</w:t>
            </w:r>
          </w:p>
        </w:tc>
        <w:tc>
          <w:tcPr/>
          <w:p>
            <w:pPr>
              <w:pStyle w:val="Compact"/>
              <w:jc w:val="center"/>
            </w:pPr>
            <m:oMath>
              <m:r>
                <m:rPr>
                  <m:sty m:val="p"/>
                </m:rPr>
                <m:t>∼</m:t>
              </m:r>
              <m:r>
                <m:t>74</m:t>
              </m:r>
              <m:r>
                <m:rPr>
                  <m:sty m:val="p"/>
                </m:rPr>
                <m:t>%</m:t>
              </m:r>
            </m:oMath>
          </w:p>
        </w:tc>
      </w:tr>
    </w:tbl>
    <w:bookmarkEnd w:id="16"/>
    <w:p>
      <w:pPr>
        <w:pStyle w:val="BodyText"/>
      </w:pPr>
      <w:bookmarkStart w:id="17" w:name="tab:forecasts"/>
      <w:bookmarkEnd w:id="17"/>
    </w:p>
    <w:bookmarkEnd w:id="18"/>
    <w:bookmarkStart w:id="19" w:name="sec:rg"/>
    <w:p>
      <w:pPr>
        <w:pStyle w:val="Heading1"/>
      </w:pPr>
      <w:r>
        <w:t xml:space="preserve">Renormalization-Group Perspective</w:t>
      </w:r>
    </w:p>
    <w:p>
      <w:pPr>
        <w:pStyle w:val="FirstParagraph"/>
      </w:pPr>
      <w:r>
        <w:t xml:space="preserve">The ASG threshold mirrors FRG flows in asymptotic safety</w:t>
      </w:r>
      <w:r>
        <w:t xml:space="preserve"> </w:t>
      </w:r>
      <w:r>
        <w:t xml:space="preserve">: identifying</w:t>
      </w:r>
      <w:r>
        <w:t xml:space="preserve"> </w:t>
      </w:r>
      <m:oMath>
        <m:r>
          <m:t>G</m:t>
        </m:r>
        <m:r>
          <m:rPr>
            <m:sty m:val="p"/>
          </m:rPr>
          <m:t>(</m:t>
        </m:r>
        <m:r>
          <m:t>k</m:t>
        </m:r>
        <m:r>
          <m:rPr>
            <m:sty m:val="p"/>
          </m:rPr>
          <m:t>)</m:t>
        </m:r>
        <m:r>
          <m:rPr>
            <m:sty m:val="p"/>
          </m:rPr>
          <m:t>=</m:t>
        </m:r>
        <m:sSub>
          <m:e>
            <m:r>
              <m:t>G</m:t>
            </m:r>
          </m:e>
          <m:sub>
            <m:r>
              <m:t>0</m:t>
            </m:r>
          </m:sub>
        </m:sSub>
        <m:r>
          <m:rPr>
            <m:sty m:val="p"/>
          </m:rPr>
          <m:t>/</m:t>
        </m:r>
        <m:r>
          <m:rPr>
            <m:sty m:val="p"/>
          </m:rPr>
          <m:t>(</m:t>
        </m:r>
        <m:r>
          <m:t>1</m:t>
        </m:r>
        <m:r>
          <m:rPr>
            <m:sty m:val="p"/>
          </m:rPr>
          <m:t>+</m:t>
        </m:r>
        <m:r>
          <m:t>ω</m:t>
        </m:r>
        <m:sSup>
          <m:e>
            <m:r>
              <m:t>k</m:t>
            </m:r>
          </m:e>
          <m:sup>
            <m:r>
              <m:t>2</m:t>
            </m:r>
          </m:sup>
        </m:sSup>
        <m:r>
          <m:rPr>
            <m:sty m:val="p"/>
          </m:rPr>
          <m:t>)</m:t>
        </m:r>
      </m:oMath>
      <w:r>
        <w:t xml:space="preserve"> </w:t>
      </w:r>
      <w:r>
        <w:t xml:space="preserve">with</w:t>
      </w:r>
      <w:r>
        <w:t xml:space="preserve"> </w:t>
      </w:r>
      <m:oMath>
        <m:r>
          <m:t>k</m:t>
        </m:r>
        <m:r>
          <m:rPr>
            <m:sty m:val="p"/>
          </m:rPr>
          <m:t>(</m:t>
        </m:r>
        <m:r>
          <m:t>χ</m:t>
        </m:r>
        <m:r>
          <m:rPr>
            <m:sty m:val="p"/>
          </m:rPr>
          <m:t>)</m:t>
        </m:r>
        <m:r>
          <m:rPr>
            <m:sty m:val="p"/>
          </m:rPr>
          <m:t>=</m:t>
        </m:r>
        <m:r>
          <m:t>ζ</m:t>
        </m:r>
        <m:r>
          <m:t>H</m:t>
        </m:r>
        <m:r>
          <m:rPr>
            <m:sty m:val="p"/>
          </m:rPr>
          <m:t>(</m:t>
        </m:r>
        <m:r>
          <m:t>χ</m:t>
        </m:r>
        <m:r>
          <m:rPr>
            <m:sty m:val="p"/>
          </m:rPr>
          <m:t>)</m:t>
        </m:r>
      </m:oMath>
      <w:r>
        <w:t xml:space="preserve"> </w:t>
      </w:r>
      <w:r>
        <w:t xml:space="preserve">yields a Gaussian-like feature</w:t>
      </w:r>
      <w:r>
        <w:t xml:space="preserve"> </w:t>
      </w:r>
      <w:r>
        <w:t xml:space="preserve">$F(\chi)=M_{\rm Pl}^{2}[1+\beta e^{-(\chi-\chi_{0})^{2}/\Delta^{2}}]$</w:t>
      </w:r>
      <w:r>
        <w:t xml:space="preserve">, motivating the phenomenological ansatz.</w:t>
      </w:r>
    </w:p>
    <w:bookmarkEnd w:id="19"/>
    <w:bookmarkStart w:id="35" w:name="representative-figures"/>
    <w:p>
      <w:pPr>
        <w:pStyle w:val="Heading1"/>
      </w:pPr>
      <w:r>
        <w:t xml:space="preserve">Representative Figures</w:t>
      </w:r>
    </w:p>
    <w:bookmarkStart w:id="24" w:name="fig:alpha"/>
    <w:p>
      <w:pPr>
        <w:pStyle w:val="CaptionedFigure"/>
      </w:pPr>
      <w:r>
        <w:drawing>
          <wp:inline>
            <wp:extent cx="2560320" cy="2137310"/>
            <wp:effectExtent b="0" l="0" r="0" t="0"/>
            <wp:docPr descr="" title="" id="21" name="Picture"/>
            <a:graphic>
              <a:graphicData uri="http://schemas.openxmlformats.org/drawingml/2006/picture">
                <pic:pic>
                  <pic:nvPicPr>
                    <pic:cNvPr descr="figures/fig1_alpha_s_ns.pdf" id="22" name="Picture"/>
                    <pic:cNvPicPr>
                      <a:picLocks noChangeArrowheads="1" noChangeAspect="1"/>
                    </pic:cNvPicPr>
                  </pic:nvPicPr>
                  <pic:blipFill>
                    <a:blip r:embed="rId20"/>
                    <a:stretch>
                      <a:fillRect/>
                    </a:stretch>
                  </pic:blipFill>
                  <pic:spPr bwMode="auto">
                    <a:xfrm>
                      <a:off x="0" y="0"/>
                      <a:ext cx="2560320" cy="2137310"/>
                    </a:xfrm>
                    <a:prstGeom prst="rect">
                      <a:avLst/>
                    </a:prstGeom>
                    <a:noFill/>
                    <a:ln w="9525">
                      <a:noFill/>
                      <a:headEnd/>
                      <a:tailEnd/>
                    </a:ln>
                  </pic:spPr>
                </pic:pic>
              </a:graphicData>
            </a:graphic>
          </wp:inline>
        </w:drawing>
      </w:r>
    </w:p>
    <w:p>
      <w:pPr>
        <w:pStyle w:val="ImageCaption"/>
      </w:pPr>
      <w:bookmarkStart w:id="23" w:name="fig:alpha"/>
      <w:bookmarkEnd w:id="23"/>
      <w:r>
        <w:t xml:space="preserve"> </w:t>
      </w:r>
      <m:oMath>
        <m:sSub>
          <m:e>
            <m:r>
              <m:t>α</m:t>
            </m:r>
          </m:e>
          <m:sub>
            <m:r>
              <m:t>s</m:t>
            </m:r>
          </m:sub>
        </m:sSub>
      </m:oMath>
      <w:r>
        <w:t xml:space="preserve">–</w:t>
      </w:r>
      <m:oMath>
        <m:sSub>
          <m:e>
            <m:r>
              <m:t>n</m:t>
            </m:r>
          </m:e>
          <m:sub>
            <m:r>
              <m:t>s</m:t>
            </m:r>
          </m:sub>
        </m:sSub>
      </m:oMath>
      <w:r>
        <w:t xml:space="preserve"> </w:t>
      </w:r>
      <w:r>
        <w:t xml:space="preserve">plane. Grey bands denote the</w:t>
      </w:r>
      <w:r>
        <w:t xml:space="preserve"> </w:t>
      </w:r>
      <m:oMath>
        <m:r>
          <m:t>α</m:t>
        </m:r>
      </m:oMath>
      <w:r>
        <w:t xml:space="preserve">-attractor prior, dashed contours show the ASG posterior (only</w:t>
      </w:r>
      <w:r>
        <w:t xml:space="preserve"> </w:t>
      </w:r>
      <m:oMath>
        <m:r>
          <m:rPr>
            <m:sty m:val="p"/>
          </m:rPr>
          <m:t>∼</m:t>
        </m:r>
        <m:r>
          <m:t>2.7</m:t>
        </m:r>
        <m:r>
          <m:rPr>
            <m:sty m:val="p"/>
          </m:rPr>
          <m:t>%</m:t>
        </m:r>
      </m:oMath>
      <w:r>
        <w:t xml:space="preserve"> </w:t>
      </w:r>
      <w:r>
        <w:t xml:space="preserve">overlap).</w:t>
      </w:r>
    </w:p>
    <w:bookmarkEnd w:id="24"/>
    <w:bookmarkStart w:id="29" w:name="fig:nsr"/>
    <w:p>
      <w:pPr>
        <w:pStyle w:val="CaptionedFigure"/>
      </w:pPr>
      <w:r>
        <w:drawing>
          <wp:inline>
            <wp:extent cx="2560320" cy="2137310"/>
            <wp:effectExtent b="0" l="0" r="0" t="0"/>
            <wp:docPr descr="" title="" id="26" name="Picture"/>
            <a:graphic>
              <a:graphicData uri="http://schemas.openxmlformats.org/drawingml/2006/picture">
                <pic:pic>
                  <pic:nvPicPr>
                    <pic:cNvPr descr="figures/fig2_ns_r.pdf" id="27" name="Picture"/>
                    <pic:cNvPicPr>
                      <a:picLocks noChangeArrowheads="1" noChangeAspect="1"/>
                    </pic:cNvPicPr>
                  </pic:nvPicPr>
                  <pic:blipFill>
                    <a:blip r:embed="rId25"/>
                    <a:stretch>
                      <a:fillRect/>
                    </a:stretch>
                  </pic:blipFill>
                  <pic:spPr bwMode="auto">
                    <a:xfrm>
                      <a:off x="0" y="0"/>
                      <a:ext cx="2560320" cy="2137310"/>
                    </a:xfrm>
                    <a:prstGeom prst="rect">
                      <a:avLst/>
                    </a:prstGeom>
                    <a:noFill/>
                    <a:ln w="9525">
                      <a:noFill/>
                      <a:headEnd/>
                      <a:tailEnd/>
                    </a:ln>
                  </pic:spPr>
                </pic:pic>
              </a:graphicData>
            </a:graphic>
          </wp:inline>
        </w:drawing>
      </w:r>
    </w:p>
    <w:p>
      <w:pPr>
        <w:pStyle w:val="ImageCaption"/>
      </w:pPr>
      <w:bookmarkStart w:id="28" w:name="fig:nsr"/>
      <w:bookmarkEnd w:id="28"/>
      <w:r>
        <w:t xml:space="preserve"> </w:t>
      </w:r>
      <w:r>
        <w:t xml:space="preserve">ASG</w:t>
      </w:r>
      <w:r>
        <w:t xml:space="preserve"> </w:t>
      </w:r>
      <m:oMath>
        <m:sSub>
          <m:e>
            <m:r>
              <m:t>n</m:t>
            </m:r>
          </m:e>
          <m:sub>
            <m:r>
              <m:t>s</m:t>
            </m:r>
          </m:sub>
        </m:sSub>
      </m:oMath>
      <w:r>
        <w:t xml:space="preserve">–</w:t>
      </w:r>
      <m:oMath>
        <m:r>
          <m:t>r</m:t>
        </m:r>
      </m:oMath>
      <w:r>
        <w:t xml:space="preserve"> </w:t>
      </w:r>
      <w:r>
        <w:t xml:space="preserve">trajectory (benchmark</w:t>
      </w:r>
      <w:r>
        <w:t xml:space="preserve"> </w:t>
      </w:r>
      <m:oMath>
        <m:r>
          <m:t>β</m:t>
        </m:r>
        <m:r>
          <m:rPr>
            <m:sty m:val="p"/>
          </m:rPr>
          <m:t>=</m:t>
        </m:r>
        <m:r>
          <m:t>0.3</m:t>
        </m:r>
      </m:oMath>
      <w:r>
        <w:t xml:space="preserve">,</w:t>
      </w:r>
      <w:r>
        <w:t xml:space="preserve"> </w:t>
      </w:r>
      <w:r>
        <w:t xml:space="preserve">$\Delta=0.5M_{\rm Pl}$</w:t>
      </w:r>
      <w:r>
        <w:t xml:space="preserve">,</w:t>
      </w:r>
      <w:r>
        <w:t xml:space="preserve"> </w:t>
      </w:r>
      <w:r>
        <w:t xml:space="preserve">$\chi_{0}=5M_{\rm Pl}$</w:t>
      </w:r>
      <w:r>
        <w:t xml:space="preserve">) compared with Planck 2018 68% and 95% contours.</w:t>
      </w:r>
    </w:p>
    <w:bookmarkEnd w:id="29"/>
    <w:bookmarkStart w:id="34" w:name="fig:FU"/>
    <w:p>
      <w:pPr>
        <w:pStyle w:val="CaptionedFigure"/>
      </w:pPr>
      <w:r>
        <w:drawing>
          <wp:inline>
            <wp:extent cx="4000500" cy="1918758"/>
            <wp:effectExtent b="0" l="0" r="0" t="0"/>
            <wp:docPr descr="" title="" id="31" name="Picture"/>
            <a:graphic>
              <a:graphicData uri="http://schemas.openxmlformats.org/drawingml/2006/picture">
                <pic:pic>
                  <pic:nvPicPr>
                    <pic:cNvPr descr="figures/fig3_F_U.pdf" id="32" name="Picture"/>
                    <pic:cNvPicPr>
                      <a:picLocks noChangeArrowheads="1" noChangeAspect="1"/>
                    </pic:cNvPicPr>
                  </pic:nvPicPr>
                  <pic:blipFill>
                    <a:blip r:embed="rId30"/>
                    <a:stretch>
                      <a:fillRect/>
                    </a:stretch>
                  </pic:blipFill>
                  <pic:spPr bwMode="auto">
                    <a:xfrm>
                      <a:off x="0" y="0"/>
                      <a:ext cx="4000500" cy="1918758"/>
                    </a:xfrm>
                    <a:prstGeom prst="rect">
                      <a:avLst/>
                    </a:prstGeom>
                    <a:noFill/>
                    <a:ln w="9525">
                      <a:noFill/>
                      <a:headEnd/>
                      <a:tailEnd/>
                    </a:ln>
                  </pic:spPr>
                </pic:pic>
              </a:graphicData>
            </a:graphic>
          </wp:inline>
        </w:drawing>
      </w:r>
    </w:p>
    <w:p>
      <w:pPr>
        <w:pStyle w:val="ImageCaption"/>
      </w:pPr>
      <w:bookmarkStart w:id="33" w:name="fig:FU"/>
      <w:bookmarkEnd w:id="33"/>
      <w:r>
        <w:t xml:space="preserve"> </w:t>
      </w:r>
      <w:r>
        <w:t xml:space="preserve">Effective Planck mass</w:t>
      </w:r>
      <w:r>
        <w:t xml:space="preserve"> </w:t>
      </w:r>
      <m:oMath>
        <m:r>
          <m:t>F</m:t>
        </m:r>
        <m:r>
          <m:rPr>
            <m:sty m:val="p"/>
          </m:rPr>
          <m:t>(</m:t>
        </m:r>
        <m:r>
          <m:t>χ</m:t>
        </m:r>
        <m:r>
          <m:rPr>
            <m:sty m:val="p"/>
          </m:rPr>
          <m:t>)</m:t>
        </m:r>
      </m:oMath>
      <w:r>
        <w:t xml:space="preserve"> </w:t>
      </w:r>
      <w:r>
        <w:t xml:space="preserve">(left) and Einstein-frame potential</w:t>
      </w:r>
      <w:r>
        <w:t xml:space="preserve"> </w:t>
      </w:r>
      <m:oMath>
        <m:r>
          <m:t>U</m:t>
        </m:r>
        <m:r>
          <m:rPr>
            <m:sty m:val="p"/>
          </m:rPr>
          <m:t>(</m:t>
        </m:r>
        <m:r>
          <m:t>χ</m:t>
        </m:r>
        <m:r>
          <m:rPr>
            <m:sty m:val="p"/>
          </m:rPr>
          <m:t>)</m:t>
        </m:r>
      </m:oMath>
      <w:r>
        <w:t xml:space="preserve"> </w:t>
      </w:r>
      <w:r>
        <w:t xml:space="preserve">(right) for the benchmark point.</w:t>
      </w:r>
    </w:p>
    <w:bookmarkEnd w:id="34"/>
    <w:bookmarkEnd w:id="35"/>
    <w:bookmarkStart w:id="36" w:name="conclusions-and-outlook"/>
    <w:p>
      <w:pPr>
        <w:pStyle w:val="Heading1"/>
      </w:pPr>
      <w:r>
        <w:t xml:space="preserve">Conclusions and Outlook</w:t>
      </w:r>
    </w:p>
    <w:p>
      <w:pPr>
        <w:pStyle w:val="FirstParagraph"/>
      </w:pPr>
      <w:r>
        <w:t xml:space="preserve">We presented an inflationary scenario driven by threshold-induced running of the Planck mass rather than a specially tuned bare potential. Planck 2018 + BAO data prefer</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t>
      </w:r>
      <w:r>
        <w:t xml:space="preserve">with</w:t>
      </w:r>
      <w:r>
        <w:t xml:space="preserve"> </w:t>
      </w:r>
      <m:oMath>
        <m:r>
          <m:rPr>
            <m:sty m:val="p"/>
          </m:rPr>
          <m:t>Δ</m:t>
        </m:r>
        <m:sSup>
          <m:e>
            <m:r>
              <m:t>χ</m:t>
            </m:r>
          </m:e>
          <m:sup>
            <m:r>
              <m:t>2</m:t>
            </m:r>
          </m:sup>
        </m:sSup>
        <m:r>
          <m:rPr>
            <m:sty m:val="p"/>
          </m:rPr>
          <m:t>≈</m:t>
        </m:r>
        <m:r>
          <m:rPr>
            <m:sty m:val="p"/>
          </m:rPr>
          <m:t>−</m:t>
        </m:r>
        <m:r>
          <m:t>3.1</m:t>
        </m:r>
      </m:oMath>
      <w:r>
        <w:t xml:space="preserve"> </w:t>
      </w:r>
      <w:r>
        <w:t xml:space="preserve">relative to</w:t>
      </w:r>
      <w:r>
        <w:t xml:space="preserve"> </w:t>
      </w:r>
      <m:oMath>
        <m:r>
          <m:rPr>
            <m:sty m:val="p"/>
          </m:rPr>
          <m:t>Λ</m:t>
        </m:r>
      </m:oMath>
      <w:r>
        <w:t xml:space="preserve">CDM+</w:t>
      </w:r>
      <m:oMath>
        <m:r>
          <m:t>r</m:t>
        </m:r>
      </m:oMath>
      <w:r>
        <w:t xml:space="preserve"> </w:t>
      </w:r>
      <w:r>
        <w:t xml:space="preserve">while remaining consistent with BK18 limits. Posterior degeneracies show that</w:t>
      </w:r>
      <w:r>
        <w:t xml:space="preserve"> </w:t>
      </w:r>
      <m:oMath>
        <m:sSub>
          <m:e>
            <m:r>
              <m:t>χ</m:t>
            </m:r>
          </m:e>
          <m:sub>
            <m:r>
              <m:t>0</m:t>
            </m:r>
          </m:sub>
        </m:sSub>
      </m:oMath>
      <w:r>
        <w:t xml:space="preserve"> </w:t>
      </w:r>
      <w:r>
        <w:t xml:space="preserve">controls</w:t>
      </w:r>
      <w:r>
        <w:t xml:space="preserve"> </w:t>
      </w:r>
      <m:oMath>
        <m:sSub>
          <m:e>
            <m:r>
              <m:t>n</m:t>
            </m:r>
          </m:e>
          <m:sub>
            <m:r>
              <m:t>s</m:t>
            </m:r>
          </m:sub>
        </m:sSub>
      </m:oMath>
      <w:r>
        <w:t xml:space="preserve"> </w:t>
      </w:r>
      <w:r>
        <w:t xml:space="preserve">while</w:t>
      </w:r>
      <w:r>
        <w:t xml:space="preserve"> </w:t>
      </w:r>
      <m:oMath>
        <m:r>
          <m:t>β</m:t>
        </m:r>
      </m:oMath>
      <w:r>
        <w:t xml:space="preserve"> </w:t>
      </w:r>
      <w:r>
        <w:t xml:space="preserve">and</w:t>
      </w:r>
      <w:r>
        <w:t xml:space="preserve"> </w:t>
      </w:r>
      <m:oMath>
        <m:r>
          <m:rPr>
            <m:sty m:val="p"/>
          </m:rPr>
          <m:t>Δ</m:t>
        </m:r>
      </m:oMath>
      <w:r>
        <w:t xml:space="preserve"> </w:t>
      </w:r>
      <w:r>
        <w:t xml:space="preserve">compensate to maintain the plateau and suppress</w:t>
      </w:r>
      <w:r>
        <w:t xml:space="preserve"> </w:t>
      </w:r>
      <m:oMath>
        <m:r>
          <m:t>r</m:t>
        </m:r>
      </m:oMath>
      <w:r>
        <w:t xml:space="preserve">. Future experiments such as LiteBIRD and CMB-S4 will test the predicted running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and tensor sector. Extensions include automated EFT matching, loop-corrected reheating, and public release of the full pipeline.</w:t>
      </w:r>
    </w:p>
    <w:bookmarkEnd w:id="36"/>
    <w:bookmarkStart w:id="37" w:name="sec:stability"/>
    <w:p>
      <w:pPr>
        <w:pStyle w:val="Heading1"/>
      </w:pPr>
      <w:r>
        <w:t xml:space="preserve">Stability of Scalar Perturbations</w:t>
      </w:r>
    </w:p>
    <w:p>
      <w:pPr>
        <w:pStyle w:val="FirstParagraph"/>
      </w:pPr>
      <w:r>
        <w:t xml:space="preserve">From the Einstein-frame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f>
                <m:fPr>
                  <m:type m:val="bar"/>
                </m:fPr>
                <m:num>
                  <m:r>
                    <m:t>1</m:t>
                  </m:r>
                </m:num>
                <m:den>
                  <m:r>
                    <m:t>2</m:t>
                  </m:r>
                </m:den>
              </m:f>
              <m:r>
                <m:t>R</m:t>
              </m:r>
              <m:r>
                <m:rPr>
                  <m:sty m:val="p"/>
                </m:rPr>
                <m:t>−</m:t>
              </m:r>
              <m:f>
                <m:fPr>
                  <m:type m:val="bar"/>
                </m:fPr>
                <m:num>
                  <m:r>
                    <m:t>1</m:t>
                  </m:r>
                </m:num>
                <m:den>
                  <m:r>
                    <m:t>2</m:t>
                  </m:r>
                </m:den>
              </m:f>
              <m:r>
                <m:t>K</m:t>
              </m:r>
              <m:r>
                <m:rPr>
                  <m:sty m:val="p"/>
                </m:rPr>
                <m:t>(</m:t>
              </m:r>
              <m:r>
                <m:t>χ</m:t>
              </m:r>
              <m:r>
                <m:rPr>
                  <m:sty m:val="p"/>
                </m:rPr>
                <m:t>)</m:t>
              </m:r>
              <m:r>
                <m:rPr>
                  <m:sty m:val="p"/>
                </m:rPr>
                <m:t>(</m:t>
              </m:r>
              <m:r>
                <m:rPr>
                  <m:sty m:val="p"/>
                </m:rPr>
                <m:t>∂</m:t>
              </m:r>
              <m:r>
                <m:t>χ</m:t>
              </m:r>
              <m:sSup>
                <m:e>
                  <m:r>
                    <m:rPr>
                      <m:sty m:val="p"/>
                    </m:rPr>
                    <m:t>)</m:t>
                  </m:r>
                </m:e>
                <m:sup>
                  <m:r>
                    <m:t>2</m:t>
                  </m:r>
                </m:sup>
              </m:sSup>
              <m:r>
                <m:rPr>
                  <m:sty m:val="p"/>
                </m:rPr>
                <m:t>−</m:t>
              </m:r>
              <m:r>
                <m:t>U</m:t>
              </m:r>
              <m:r>
                <m:rPr>
                  <m:sty m:val="p"/>
                </m:rPr>
                <m:t>(</m:t>
              </m:r>
              <m:r>
                <m:t>χ</m:t>
              </m:r>
              <m:r>
                <m:rPr>
                  <m:sty m:val="p"/>
                </m:rPr>
                <m:t>)</m:t>
              </m:r>
            </m:e>
          </m:d>
          <m:r>
            <m:rPr>
              <m:sty m:val="p"/>
            </m:rPr>
            <m:t>,</m:t>
          </m:r>
        </m:oMath>
      </m:oMathPara>
    </w:p>
    <w:p>
      <w:pPr>
        <w:pStyle w:val="FirstParagraph"/>
      </w:pPr>
      <w:r>
        <w:t xml:space="preserve">we obtain the quadratic action</w:t>
      </w:r>
    </w:p>
    <w:p>
      <w:pPr>
        <w:pStyle w:val="BodyText"/>
      </w:pPr>
      <m:oMathPara>
        <m:oMathParaPr>
          <m:jc m:val="center"/>
        </m:oMathParaPr>
        <m:oMath>
          <m:sSup>
            <m:e>
              <m:r>
                <m:t>S</m:t>
              </m:r>
            </m:e>
            <m:sup>
              <m:r>
                <m:rPr>
                  <m:sty m:val="p"/>
                </m:rPr>
                <m:t>(</m:t>
              </m:r>
              <m:r>
                <m:t>2</m:t>
              </m:r>
              <m:r>
                <m:rPr>
                  <m:sty m:val="p"/>
                </m:rPr>
                <m:t>)</m:t>
              </m:r>
            </m:sup>
          </m:sSup>
          <m:r>
            <m:rPr>
              <m:sty m:val="p"/>
            </m:rPr>
            <m:t>=</m:t>
          </m:r>
          <m:r>
            <m:rPr>
              <m:sty m:val="p"/>
            </m:rPr>
            <m:t>∫</m:t>
          </m:r>
          <m:r>
            <m:t>d</m:t>
          </m:r>
          <m:r>
            <m:t>t</m:t>
          </m:r>
          <m:r>
            <m:t> </m:t>
          </m:r>
          <m:sSup>
            <m:e>
              <m:r>
                <m:t>d</m:t>
              </m:r>
            </m:e>
            <m:sup>
              <m:r>
                <m:t>3</m:t>
              </m:r>
            </m:sup>
          </m:sSup>
          <m:r>
            <m:t>x</m:t>
          </m:r>
          <m:r>
            <m:t> </m:t>
          </m:r>
          <m:sSup>
            <m:e>
              <m:r>
                <m:t>a</m:t>
              </m:r>
            </m:e>
            <m:sup>
              <m:r>
                <m:t>3</m:t>
              </m:r>
            </m:sup>
          </m:sSup>
          <m:d>
            <m:dPr>
              <m:begChr m:val="["/>
              <m:sepChr m:val=""/>
              <m:endChr m:val="]"/>
              <m:grow/>
            </m:dPr>
            <m:e>
              <m:sSub>
                <m:e>
                  <m:r>
                    <m:rPr>
                      <m:scr m:val="script"/>
                      <m:sty m:val="p"/>
                    </m:rPr>
                    <m:t>G</m:t>
                  </m:r>
                </m:e>
                <m:sub>
                  <m:r>
                    <m:t>s</m:t>
                  </m:r>
                </m:sub>
              </m:sSub>
              <m:sSup>
                <m:e>
                  <m:acc>
                    <m:accPr>
                      <m:chr m:val="̇"/>
                    </m:accPr>
                    <m:e>
                      <m:r>
                        <m:rPr>
                          <m:scr m:val="script"/>
                          <m:sty m:val="p"/>
                        </m:rPr>
                        <m:t>R</m:t>
                      </m:r>
                    </m:e>
                  </m:acc>
                </m:e>
                <m:sup>
                  <m:r>
                    <m:t>2</m:t>
                  </m:r>
                </m:sup>
              </m:sSup>
              <m:r>
                <m:rPr>
                  <m:sty m:val="p"/>
                </m:rPr>
                <m:t>−</m:t>
              </m:r>
              <m:f>
                <m:fPr>
                  <m:type m:val="bar"/>
                </m:fPr>
                <m:num>
                  <m:sSub>
                    <m:e>
                      <m:r>
                        <m:rPr>
                          <m:scr m:val="script"/>
                          <m:sty m:val="p"/>
                        </m:rPr>
                        <m:t>F</m:t>
                      </m:r>
                    </m:e>
                    <m:sub>
                      <m:r>
                        <m:t>s</m:t>
                      </m:r>
                    </m:sub>
                  </m:sSub>
                </m:num>
                <m:den>
                  <m:sSup>
                    <m:e>
                      <m:r>
                        <m:t>a</m:t>
                      </m:r>
                    </m:e>
                    <m:sup>
                      <m:r>
                        <m:t>2</m:t>
                      </m:r>
                    </m:sup>
                  </m:sSup>
                </m:den>
              </m:f>
              <m:r>
                <m:rPr>
                  <m:sty m:val="p"/>
                </m:rPr>
                <m:t>(</m:t>
              </m:r>
              <m:r>
                <m:rPr>
                  <m:sty m:val="p"/>
                </m:rPr>
                <m:t>∇</m:t>
              </m:r>
              <m:r>
                <m:rPr>
                  <m:scr m:val="script"/>
                  <m:sty m:val="p"/>
                </m:rPr>
                <m:t>R</m:t>
              </m:r>
              <m:sSup>
                <m:e>
                  <m:r>
                    <m:rPr>
                      <m:sty m:val="p"/>
                    </m:rPr>
                    <m:t>)</m:t>
                  </m:r>
                </m:e>
                <m:sup>
                  <m:r>
                    <m:t>2</m:t>
                  </m:r>
                </m:sup>
              </m:sSup>
            </m:e>
          </m:d>
          <m:r>
            <m:rPr>
              <m:sty m:val="p"/>
            </m:rPr>
            <m:t>,</m:t>
          </m:r>
        </m:oMath>
      </m:oMathPara>
    </w:p>
    <w:p>
      <w:pPr>
        <w:pStyle w:val="FirstParagraph"/>
      </w:pPr>
      <w:r>
        <w:t xml:space="preserve">with</w:t>
      </w:r>
      <w:r>
        <w:t xml:space="preserve"> </w:t>
      </w:r>
      <m:oMath>
        <m:sSub>
          <m:e>
            <m:r>
              <m:rPr>
                <m:scr m:val="script"/>
                <m:sty m:val="p"/>
              </m:rPr>
              <m:t>G</m:t>
            </m:r>
          </m:e>
          <m:sub>
            <m:r>
              <m:t>s</m:t>
            </m:r>
          </m:sub>
        </m:sSub>
        <m:r>
          <m:rPr>
            <m:sty m:val="p"/>
          </m:rPr>
          <m:t>,</m:t>
        </m:r>
        <m:sSub>
          <m:e>
            <m:r>
              <m:rPr>
                <m:scr m:val="script"/>
                <m:sty m:val="p"/>
              </m:rPr>
              <m:t>F</m:t>
            </m:r>
          </m:e>
          <m:sub>
            <m:r>
              <m:t>s</m:t>
            </m:r>
          </m:sub>
        </m:sSub>
        <m:r>
          <m:rPr>
            <m:sty m:val="p"/>
          </m:rPr>
          <m:t>&gt;</m:t>
        </m:r>
        <m:r>
          <m:t>0</m:t>
        </m:r>
      </m:oMath>
      <w:r>
        <w:t xml:space="preserve"> </w:t>
      </w:r>
      <w:r>
        <w:t xml:space="preserve">across the posterior and</w:t>
      </w:r>
      <w:r>
        <w:t xml:space="preserve"> </w:t>
      </w:r>
      <m:oMath>
        <m:sSubSup>
          <m:e>
            <m:r>
              <m:t>c</m:t>
            </m:r>
          </m:e>
          <m:sub>
            <m:r>
              <m:t>s</m:t>
            </m:r>
          </m:sub>
          <m:sup>
            <m:r>
              <m:t>2</m:t>
            </m:r>
          </m:sup>
        </m:sSubSup>
        <m:r>
          <m:rPr>
            <m:sty m:val="p"/>
          </m:rPr>
          <m:t>≡</m:t>
        </m:r>
        <m:sSub>
          <m:e>
            <m:r>
              <m:rPr>
                <m:scr m:val="script"/>
                <m:sty m:val="p"/>
              </m:rPr>
              <m:t>F</m:t>
            </m:r>
          </m:e>
          <m:sub>
            <m:r>
              <m:t>s</m:t>
            </m:r>
          </m:sub>
        </m:sSub>
        <m:r>
          <m:rPr>
            <m:sty m:val="p"/>
          </m:rPr>
          <m:t>/</m:t>
        </m:r>
        <m:sSub>
          <m:e>
            <m:r>
              <m:rPr>
                <m:scr m:val="script"/>
                <m:sty m:val="p"/>
              </m:rPr>
              <m:t>G</m:t>
            </m:r>
          </m:e>
          <m:sub>
            <m:r>
              <m:t>s</m:t>
            </m:r>
          </m:sub>
        </m:sSub>
        <m:r>
          <m:rPr>
            <m:sty m:val="p"/>
          </m:rPr>
          <m:t>≳</m:t>
        </m:r>
        <m:r>
          <m:t>0.1</m:t>
        </m:r>
      </m:oMath>
      <w:r>
        <w:t xml:space="preserve"> </w:t>
      </w:r>
      <w:r>
        <w:t xml:space="preserve">for</w:t>
      </w:r>
      <w:r>
        <w:t xml:space="preserve"> </w:t>
      </w:r>
      <w:r>
        <w:t xml:space="preserve">$(\beta,\Delta,\chi_{0})=(0.3,0.5M_{\rm Pl},5M_{\rm Pl})$</w:t>
      </w:r>
      <w:r>
        <w:t xml:space="preserve">. The cutoff satisfies</w:t>
      </w:r>
      <w:r>
        <w:t xml:space="preserve"> </w:t>
      </w:r>
      <m:oMath>
        <m:sSub>
          <m:e>
            <m:r>
              <m:rPr>
                <m:sty m:val="p"/>
              </m:rPr>
              <m:t>Λ</m:t>
            </m:r>
          </m:e>
          <m:sub>
            <m:r>
              <m:rPr>
                <m:nor/>
                <m:sty m:val="p"/>
              </m:rPr>
              <m:t>cutoff</m:t>
            </m:r>
          </m:sub>
        </m:sSub>
        <m:r>
          <m:rPr>
            <m:sty m:val="p"/>
          </m:rPr>
          <m:t>≳</m:t>
        </m:r>
        <m:r>
          <m:t>10</m:t>
        </m:r>
        <m:sSub>
          <m:e>
            <m:r>
              <m:t>H</m:t>
            </m:r>
          </m:e>
          <m:sub>
            <m:r>
              <m:rPr>
                <m:nor/>
                <m:sty m:val="p"/>
              </m:rPr>
              <m:t>inf</m:t>
            </m:r>
          </m:sub>
        </m:sSub>
      </m:oMath>
      <w:r>
        <w:t xml:space="preserve">, ensuring EFT control.</w:t>
      </w:r>
    </w:p>
    <w:bookmarkEnd w:id="37"/>
    <w:bookmarkStart w:id="38" w:name="basin-of-attraction"/>
    <w:p>
      <w:pPr>
        <w:pStyle w:val="Heading1"/>
      </w:pPr>
      <w:r>
        <w:t xml:space="preserve">Basin of Attraction</w:t>
      </w:r>
    </w:p>
    <w:p>
      <w:pPr>
        <w:pStyle w:val="FirstParagraph"/>
      </w:pPr>
      <w:r>
        <w:t xml:space="preserve">Randomly sampling 200 initial conditions near</w:t>
      </w:r>
      <w:r>
        <w:t xml:space="preserve"> </w:t>
      </w:r>
      <m:oMath>
        <m:r>
          <m:t>χ</m:t>
        </m:r>
        <m:r>
          <m:rPr>
            <m:sty m:val="p"/>
          </m:rPr>
          <m:t>=</m:t>
        </m:r>
        <m:sSub>
          <m:e>
            <m:r>
              <m:t>χ</m:t>
            </m:r>
          </m:e>
          <m:sub>
            <m:r>
              <m:t>0</m:t>
            </m:r>
          </m:sub>
        </m:sSub>
        <m:r>
          <m:rPr>
            <m:sty m:val="p"/>
          </m:rPr>
          <m:t>−</m:t>
        </m:r>
        <m:r>
          <m:t>2</m:t>
        </m:r>
        <m:r>
          <m:rPr>
            <m:sty m:val="p"/>
          </m:rPr>
          <m:t>Δ</m:t>
        </m:r>
      </m:oMath>
      <w:r>
        <w:t xml:space="preserve"> </w:t>
      </w:r>
      <w:r>
        <w:t xml:space="preserve">with</w:t>
      </w:r>
      <w:r>
        <w:t xml:space="preserve"> </w:t>
      </w:r>
      <w:r>
        <w:t xml:space="preserve">$\dot{\chi}\in[-5,5]\times10^{-6}M_{\rm Pl}^{2}$</w:t>
      </w:r>
      <w:r>
        <w:t xml:space="preserve"> </w:t>
      </w:r>
      <w:r>
        <w:t xml:space="preserve">shows that</w:t>
      </w:r>
    </w:p>
    <w:p>
      <w:pPr>
        <w:pStyle w:val="BodyText"/>
      </w:pPr>
      <m:oMathPara>
        <m:oMathParaPr>
          <m:jc m:val="center"/>
        </m:oMathParaPr>
        <m:oMath>
          <m:r>
            <m:t>δ</m:t>
          </m:r>
          <m:r>
            <m:t>N</m:t>
          </m:r>
          <m:r>
            <m:rPr>
              <m:sty m:val="p"/>
            </m:rPr>
            <m:t>≡</m:t>
          </m:r>
          <m:f>
            <m:fPr>
              <m:type m:val="bar"/>
            </m:fPr>
            <m:num>
              <m:r>
                <m:rPr>
                  <m:sty m:val="p"/>
                </m:rPr>
                <m:t>|</m:t>
              </m:r>
              <m:r>
                <m:t>N</m:t>
              </m:r>
              <m:r>
                <m:rPr>
                  <m:sty m:val="p"/>
                </m:rPr>
                <m:t>(</m:t>
              </m:r>
              <m:sSub>
                <m:e>
                  <m:r>
                    <m:t>χ</m:t>
                  </m:r>
                </m:e>
                <m:sub>
                  <m:r>
                    <m:t>0</m:t>
                  </m:r>
                </m:sub>
              </m:sSub>
              <m:r>
                <m:rPr>
                  <m:sty m:val="p"/>
                </m:rPr>
                <m:t>,</m:t>
              </m:r>
              <m:sSub>
                <m:e>
                  <m:acc>
                    <m:accPr>
                      <m:chr m:val="̇"/>
                    </m:accPr>
                    <m:e>
                      <m:r>
                        <m:t>χ</m:t>
                      </m:r>
                    </m:e>
                  </m:acc>
                </m:e>
                <m:sub>
                  <m:r>
                    <m:t>0</m:t>
                  </m:r>
                </m:sub>
              </m:sSub>
              <m:r>
                <m:rPr>
                  <m:sty m:val="p"/>
                </m:rPr>
                <m:t>)</m:t>
              </m:r>
              <m:r>
                <m:rPr>
                  <m:sty m:val="p"/>
                </m:rPr>
                <m:t>−</m:t>
              </m:r>
              <m:sSub>
                <m:e>
                  <m:r>
                    <m:t>N</m:t>
                  </m:r>
                </m:e>
                <m:sub>
                  <m:r>
                    <m:rPr>
                      <m:nor/>
                      <m:sty m:val="p"/>
                    </m:rPr>
                    <m:t>ref</m:t>
                  </m:r>
                </m:sub>
              </m:sSub>
              <m:r>
                <m:rPr>
                  <m:sty m:val="p"/>
                </m:rPr>
                <m:t>|</m:t>
              </m:r>
            </m:num>
            <m:den>
              <m:sSub>
                <m:e>
                  <m:r>
                    <m:t>N</m:t>
                  </m:r>
                </m:e>
                <m:sub>
                  <m:r>
                    <m:rPr>
                      <m:nor/>
                      <m:sty m:val="p"/>
                    </m:rPr>
                    <m:t>ref</m:t>
                  </m:r>
                </m:sub>
              </m:sSub>
            </m:den>
          </m:f>
          <m:r>
            <m:rPr>
              <m:sty m:val="p"/>
            </m:rPr>
            <m:t>,</m:t>
          </m:r>
          <m:r>
            <m:t>  </m:t>
          </m:r>
          <m:sSub>
            <m:e>
              <m:r>
                <m:t>N</m:t>
              </m:r>
            </m:e>
            <m:sub>
              <m:r>
                <m:rPr>
                  <m:nor/>
                  <m:sty m:val="p"/>
                </m:rPr>
                <m:t>ref</m:t>
              </m:r>
            </m:sub>
          </m:sSub>
          <m:r>
            <m:rPr>
              <m:sty m:val="p"/>
            </m:rPr>
            <m:t>=</m:t>
          </m:r>
          <m:r>
            <m:t>62</m:t>
          </m:r>
          <m:r>
            <m:rPr>
              <m:sty m:val="p"/>
            </m:rPr>
            <m:t>,</m:t>
          </m:r>
        </m:oMath>
      </m:oMathPara>
    </w:p>
    <w:p>
      <w:pPr>
        <w:pStyle w:val="FirstParagraph"/>
      </w:pPr>
      <w:r>
        <w:t xml:space="preserve">falls below</w:t>
      </w:r>
      <w:r>
        <w:t xml:space="preserve"> </w:t>
      </w:r>
      <m:oMath>
        <m:sSup>
          <m:e>
            <m:r>
              <m:t>10</m:t>
            </m:r>
          </m:e>
          <m:sup>
            <m:r>
              <m:rPr>
                <m:sty m:val="p"/>
              </m:rPr>
              <m:t>−</m:t>
            </m:r>
            <m:r>
              <m:t>2</m:t>
            </m:r>
          </m:sup>
        </m:sSup>
      </m:oMath>
      <w:r>
        <w:t xml:space="preserve"> </w:t>
      </w:r>
      <w:r>
        <w:t xml:space="preserve">within eight e-folds for</w:t>
      </w:r>
      <w:r>
        <w:t xml:space="preserve"> </w:t>
      </w:r>
      <m:oMath>
        <m:r>
          <m:t>97</m:t>
        </m:r>
        <m:r>
          <m:rPr>
            <m:sty m:val="p"/>
          </m:rPr>
          <m:t>%</m:t>
        </m:r>
      </m:oMath>
      <w:r>
        <w:t xml:space="preserve"> </w:t>
      </w:r>
      <w:r>
        <w:t xml:space="preserve">of trajectories, establishing a sizable basin without fine-tuned velocities.</w:t>
      </w:r>
    </w:p>
    <w:bookmarkEnd w:id="38"/>
    <w:bookmarkStart w:id="39" w:name="plateau-volume-and-tuning-diagnostic"/>
    <w:p>
      <w:pPr>
        <w:pStyle w:val="Heading1"/>
      </w:pPr>
      <w:r>
        <w:t xml:space="preserve">Plateau Volume and Tuning Diagnostic</w:t>
      </w:r>
    </w:p>
    <w:p>
      <w:pPr>
        <w:pStyle w:val="FirstParagraph"/>
      </w:pPr>
      <w:r>
        <w:t xml:space="preserve">Sampling</w:t>
      </w:r>
      <w:r>
        <w:t xml:space="preserve"> </w:t>
      </w:r>
      <m:oMath>
        <m:r>
          <m:t>β</m:t>
        </m:r>
        <m:r>
          <m:rPr>
            <m:sty m:val="p"/>
          </m:rPr>
          <m:t>∈</m:t>
        </m:r>
        <m:r>
          <m:rPr>
            <m:sty m:val="p"/>
          </m:rPr>
          <m:t>[</m:t>
        </m:r>
        <m:r>
          <m:t>0.05</m:t>
        </m:r>
        <m:r>
          <m:rPr>
            <m:sty m:val="p"/>
          </m:rPr>
          <m:t>,</m:t>
        </m:r>
        <m:r>
          <m:t>0.5</m:t>
        </m:r>
        <m:r>
          <m:rPr>
            <m:sty m:val="p"/>
          </m:rPr>
          <m:t>]</m:t>
        </m:r>
      </m:oMath>
      <w:r>
        <w:t xml:space="preserve">,</w:t>
      </w:r>
      <w:r>
        <w:t xml:space="preserve"> </w:t>
      </w:r>
      <m:oMath>
        <m:r>
          <m:rPr>
            <m:sty m:val="p"/>
          </m:rPr>
          <m:t>Δ</m:t>
        </m:r>
        <m:r>
          <m:rPr>
            <m:sty m:val="p"/>
          </m:rPr>
          <m:t>∈</m:t>
        </m:r>
        <m:r>
          <m:rPr>
            <m:sty m:val="p"/>
          </m:rPr>
          <m:t>[</m:t>
        </m:r>
        <m:r>
          <m:t>0.2</m:t>
        </m:r>
        <m:r>
          <m:rPr>
            <m:sty m:val="p"/>
          </m:rPr>
          <m:t>,</m:t>
        </m:r>
        <m:r>
          <m:t>1.2</m:t>
        </m:r>
        <m:r>
          <m:rPr>
            <m:sty m:val="p"/>
          </m:rPr>
          <m:t>]</m:t>
        </m:r>
      </m:oMath>
      <w:r>
        <w:t xml:space="preserve">, and</w:t>
      </w:r>
      <w:r>
        <w:t xml:space="preserve"> </w:t>
      </w:r>
      <w:r>
        <w:t xml:space="preserve">$\chi_{0}\in[3,7]M_{\rm Pl}$</w:t>
      </w:r>
      <w:r>
        <w:t xml:space="preserve"> </w:t>
      </w:r>
      <w:r>
        <w:t xml:space="preserve">yields a plateau fraction</w:t>
      </w:r>
      <w:r>
        <w:t xml:space="preserve"> </w:t>
      </w:r>
      <m:oMath>
        <m:sSub>
          <m:e>
            <m:r>
              <m:rPr>
                <m:sty m:val="p"/>
              </m:rPr>
              <m:t>Δ</m:t>
            </m:r>
          </m:e>
          <m:sub>
            <m:r>
              <m:rPr>
                <m:nor/>
                <m:sty m:val="p"/>
              </m:rPr>
              <m:t>plateau</m:t>
            </m:r>
          </m:sub>
        </m:sSub>
        <m:r>
          <m:rPr>
            <m:sty m:val="p"/>
          </m:rPr>
          <m:t>=</m:t>
        </m:r>
        <m:r>
          <m:t>0.27</m:t>
        </m:r>
        <m:r>
          <m:rPr>
            <m:sty m:val="p"/>
          </m:rPr>
          <m:t>±</m:t>
        </m:r>
        <m:r>
          <m:t>0.02</m:t>
        </m:r>
      </m:oMath>
      <w:r>
        <w:t xml:space="preserve">. Within the successful region we find</w:t>
      </w:r>
      <w:r>
        <w:t xml:space="preserve"> </w:t>
      </w:r>
      <m:oMath>
        <m:r>
          <m:rPr>
            <m:sty m:val="p"/>
          </m:rPr>
          <m:t>∂</m:t>
        </m:r>
        <m:sSub>
          <m:e>
            <m:r>
              <m:t>n</m:t>
            </m:r>
          </m:e>
          <m:sub>
            <m:r>
              <m:t>s</m:t>
            </m:r>
          </m:sub>
        </m:sSub>
        <m:r>
          <m:rPr>
            <m:sty m:val="p"/>
          </m:rPr>
          <m:t>/</m:t>
        </m:r>
        <m:r>
          <m:rPr>
            <m:sty m:val="p"/>
          </m:rPr>
          <m:t>∂</m:t>
        </m:r>
        <m:r>
          <m:t>β</m:t>
        </m:r>
        <m:r>
          <m:rPr>
            <m:sty m:val="p"/>
          </m:rPr>
          <m:t>≈</m:t>
        </m:r>
        <m:r>
          <m:rPr>
            <m:sty m:val="p"/>
          </m:rPr>
          <m:t>−</m:t>
        </m:r>
        <m:r>
          <m:t>0.08</m:t>
        </m:r>
      </m:oMath>
      <w:r>
        <w:t xml:space="preserve"> </w:t>
      </w:r>
      <w:r>
        <w:t xml:space="preserve">and</w:t>
      </w:r>
      <w:r>
        <w:t xml:space="preserve"> </w:t>
      </w:r>
      <m:oMath>
        <m:r>
          <m:rPr>
            <m:sty m:val="p"/>
          </m:rPr>
          <m:t>∂</m:t>
        </m:r>
        <m:r>
          <m:rPr>
            <m:sty m:val="p"/>
          </m:rPr>
          <m:t>ln</m:t>
        </m:r>
        <m:r>
          <m:t>r</m:t>
        </m:r>
        <m:r>
          <m:rPr>
            <m:sty m:val="p"/>
          </m:rPr>
          <m:t>/</m:t>
        </m:r>
        <m:r>
          <m:rPr>
            <m:sty m:val="p"/>
          </m:rPr>
          <m:t>∂</m:t>
        </m:r>
        <m:r>
          <m:rPr>
            <m:sty m:val="p"/>
          </m:rPr>
          <m:t>Δ</m:t>
        </m:r>
        <m:r>
          <m:rPr>
            <m:sty m:val="p"/>
          </m:rPr>
          <m:t>≈</m:t>
        </m:r>
        <m:r>
          <m:rPr>
            <m:sty m:val="p"/>
          </m:rPr>
          <m:t>−</m:t>
        </m:r>
        <m:r>
          <m:t>1.6</m:t>
        </m:r>
      </m:oMath>
      <w:r>
        <w:t xml:space="preserve">, confirming that the model spans a continuous strip in the</w:t>
      </w:r>
      <w:r>
        <w:t xml:space="preserve"> </w:t>
      </w:r>
      <m:oMath>
        <m:sSub>
          <m:e>
            <m:r>
              <m:t>n</m:t>
            </m:r>
          </m:e>
          <m:sub>
            <m:r>
              <m:t>s</m:t>
            </m:r>
          </m:sub>
        </m:sSub>
      </m:oMath>
      <w:r>
        <w:t xml:space="preserve">–</w:t>
      </w:r>
      <m:oMath>
        <m:r>
          <m:t>r</m:t>
        </m:r>
      </m:oMath>
      <w:r>
        <w:t xml:space="preserve"> </w:t>
      </w:r>
      <w:r>
        <w:t xml:space="preserve">plane.</w:t>
      </w:r>
    </w:p>
    <w:bookmarkEnd w:id="39"/>
    <w:bookmarkStart w:id="40" w:name="sec:eft"/>
    <w:p>
      <w:pPr>
        <w:pStyle w:val="Heading1"/>
      </w:pPr>
      <w:r>
        <w:t xml:space="preserve">EFT Validity and Cutoff Hierarchy</w:t>
      </w:r>
    </w:p>
    <w:p>
      <w:pPr>
        <w:pStyle w:val="FirstParagraph"/>
      </w:pPr>
      <w:r>
        <w:t xml:space="preserve">The strong-coupling scale</w:t>
      </w:r>
    </w:p>
    <w:p>
      <w:pPr>
        <w:pStyle w:val="BodyText"/>
      </w:pPr>
      <m:oMathPara>
        <m:oMathParaPr>
          <m:jc m:val="center"/>
        </m:oMathParaPr>
        <m:oMath>
          <m:sSubSup>
            <m:e>
              <m:r>
                <m:rPr>
                  <m:sty m:val="p"/>
                </m:rPr>
                <m:t>Λ</m:t>
              </m:r>
            </m:e>
            <m:sub>
              <m:r>
                <m:rPr>
                  <m:nor/>
                  <m:sty m:val="p"/>
                </m:rPr>
                <m:t>sc</m:t>
              </m:r>
            </m:sub>
            <m:sup>
              <m:r>
                <m:t>2</m:t>
              </m:r>
            </m:sup>
          </m:sSubSup>
          <m:r>
            <m:rPr>
              <m:sty m:val="p"/>
            </m:rPr>
            <m:t>≃</m:t>
          </m:r>
          <m:f>
            <m:fPr>
              <m:type m:val="bar"/>
            </m:fPr>
            <m:num>
              <m:r>
                <m:t>16</m:t>
              </m:r>
              <m:sSup>
                <m:e>
                  <m:r>
                    <m:t>π</m:t>
                  </m:r>
                </m:e>
                <m:sup>
                  <m:r>
                    <m:t>2</m:t>
                  </m:r>
                </m:sup>
              </m:sSup>
              <m:r>
                <m:t>F</m:t>
              </m:r>
              <m:r>
                <m:rPr>
                  <m:sty m:val="p"/>
                </m:rPr>
                <m:t>(</m:t>
              </m:r>
              <m:r>
                <m:t>χ</m:t>
              </m:r>
              <m:sSup>
                <m:e>
                  <m:r>
                    <m:rPr>
                      <m:sty m:val="p"/>
                    </m:rPr>
                    <m:t>)</m:t>
                  </m:r>
                </m:e>
                <m:sup>
                  <m:r>
                    <m:t>2</m:t>
                  </m:r>
                </m:sup>
              </m:sSup>
            </m:num>
            <m:den>
              <m:sSup>
                <m:e>
                  <m:d>
                    <m:dPr>
                      <m:begChr m:val="("/>
                      <m:sepChr m:val=""/>
                      <m:endChr m:val=")"/>
                      <m:grow/>
                    </m:dPr>
                    <m:e>
                      <m:sSup>
                        <m:e>
                          <m:r>
                            <m:t>F</m:t>
                          </m:r>
                        </m:e>
                        <m:sup>
                          <m:r>
                            <m:rPr>
                              <m:sty m:val="p"/>
                            </m:rPr>
                            <m:t>′</m:t>
                          </m:r>
                        </m:sup>
                      </m:sSup>
                      <m:r>
                        <m:rPr>
                          <m:sty m:val="p"/>
                        </m:rPr>
                        <m:t>(</m:t>
                      </m:r>
                      <m:r>
                        <m:t>χ</m:t>
                      </m:r>
                      <m:r>
                        <m:rPr>
                          <m:sty m:val="p"/>
                        </m:rPr>
                        <m:t>)</m:t>
                      </m:r>
                    </m:e>
                  </m:d>
                </m:e>
                <m:sup>
                  <m:r>
                    <m:t>2</m:t>
                  </m:r>
                </m:sup>
              </m:sSup>
              <m:r>
                <m:rPr>
                  <m:sty m:val="p"/>
                </m:rPr>
                <m:t>+</m:t>
              </m:r>
              <m:r>
                <m:t>F</m:t>
              </m:r>
              <m:r>
                <m:rPr>
                  <m:sty m:val="p"/>
                </m:rPr>
                <m:t>(</m:t>
              </m:r>
              <m:r>
                <m:t>χ</m:t>
              </m:r>
              <m:r>
                <m:rPr>
                  <m:sty m:val="p"/>
                </m:rPr>
                <m:t>)</m:t>
              </m:r>
              <m:sSup>
                <m:e>
                  <m:r>
                    <m:t>F</m:t>
                  </m:r>
                </m:e>
                <m:sup>
                  <m:r>
                    <m:rPr>
                      <m:sty m:val="p"/>
                    </m:rPr>
                    <m:t>″</m:t>
                  </m:r>
                </m:sup>
              </m:sSup>
              <m:r>
                <m:rPr>
                  <m:sty m:val="p"/>
                </m:rPr>
                <m:t>(</m:t>
              </m:r>
              <m:r>
                <m:t>χ</m:t>
              </m:r>
              <m:r>
                <m:rPr>
                  <m:sty m:val="p"/>
                </m:rPr>
                <m:t>)</m:t>
              </m:r>
            </m:den>
          </m:f>
        </m:oMath>
      </m:oMathPara>
    </w:p>
    <w:p>
      <w:pPr>
        <w:pStyle w:val="FirstParagraph"/>
      </w:pPr>
      <w:r>
        <w:t xml:space="preserve">remains between</w:t>
      </w:r>
      <w:r>
        <w:t xml:space="preserve"> </w:t>
      </w:r>
      <m:oMath>
        <m:r>
          <m:t>12</m:t>
        </m:r>
        <m:r>
          <m:t>H</m:t>
        </m:r>
      </m:oMath>
      <w:r>
        <w:t xml:space="preserve"> </w:t>
      </w:r>
      <w:r>
        <w:t xml:space="preserve">and</w:t>
      </w:r>
      <w:r>
        <w:t xml:space="preserve"> </w:t>
      </w:r>
      <m:oMath>
        <m:r>
          <m:t>55</m:t>
        </m:r>
        <m:r>
          <m:t>H</m:t>
        </m:r>
      </m:oMath>
      <w:r>
        <w:t xml:space="preserve"> </w:t>
      </w:r>
      <w:r>
        <w:t xml:space="preserve">from horizon exit to the end of inflation, with the minimum near the screening maximum. The hierarchy</w:t>
      </w:r>
      <w:r>
        <w:t xml:space="preserve"> </w:t>
      </w:r>
      <m:oMath>
        <m:sSub>
          <m:e>
            <m:r>
              <m:rPr>
                <m:sty m:val="p"/>
              </m:rPr>
              <m:t>Λ</m:t>
            </m:r>
          </m:e>
          <m:sub>
            <m:r>
              <m:rPr>
                <m:nor/>
                <m:sty m:val="p"/>
              </m:rPr>
              <m:t>sc</m:t>
            </m:r>
          </m:sub>
        </m:sSub>
        <m:r>
          <m:rPr>
            <m:sty m:val="p"/>
          </m:rPr>
          <m:t>/</m:t>
        </m:r>
        <m:r>
          <m:t>H</m:t>
        </m:r>
        <m:r>
          <m:rPr>
            <m:sty m:val="p"/>
          </m:rPr>
          <m:t>&gt;</m:t>
        </m:r>
        <m:r>
          <m:t>10</m:t>
        </m:r>
      </m:oMath>
      <w:r>
        <w:t xml:space="preserve"> </w:t>
      </w:r>
      <w:r>
        <w:t xml:space="preserve">holds throughout the posterior, ensuring single-field EFT control.</w:t>
      </w:r>
    </w:p>
    <w:bookmarkEnd w:id="40"/>
    <w:bookmarkStart w:id="41" w:name="sec:frg"/>
    <w:p>
      <w:pPr>
        <w:pStyle w:val="Heading1"/>
      </w:pPr>
      <w:r>
        <w:t xml:space="preserve">FRG-inspired Scale Identification</w:t>
      </w:r>
    </w:p>
    <w:p>
      <w:pPr>
        <w:pStyle w:val="FirstParagraph"/>
      </w:pPr>
      <w:r>
        <w:t xml:space="preserve">Identifying</w:t>
      </w:r>
      <w:r>
        <w:t xml:space="preserve"> </w:t>
      </w:r>
      <m:oMath>
        <m:r>
          <m:t>k</m:t>
        </m:r>
        <m:r>
          <m:rPr>
            <m:sty m:val="p"/>
          </m:rPr>
          <m:t>(</m:t>
        </m:r>
        <m:r>
          <m:t>χ</m:t>
        </m:r>
        <m:r>
          <m:rPr>
            <m:sty m:val="p"/>
          </m:rPr>
          <m:t>)</m:t>
        </m:r>
        <m:r>
          <m:rPr>
            <m:sty m:val="p"/>
          </m:rPr>
          <m:t>=</m:t>
        </m:r>
        <m:r>
          <m:t>ζ</m:t>
        </m:r>
        <m:r>
          <m:t>H</m:t>
        </m:r>
        <m:r>
          <m:rPr>
            <m:sty m:val="p"/>
          </m:rPr>
          <m:t>(</m:t>
        </m:r>
        <m:r>
          <m:t>χ</m:t>
        </m:r>
        <m:r>
          <m:rPr>
            <m:sty m:val="p"/>
          </m:rPr>
          <m:t>)</m:t>
        </m:r>
      </m:oMath>
      <w:r>
        <w:t xml:space="preserve"> </w:t>
      </w:r>
      <w:r>
        <w:t xml:space="preserve">in</w:t>
      </w:r>
      <w:r>
        <w:t xml:space="preserve"> </w:t>
      </w:r>
      <m:oMath>
        <m:r>
          <m:t>G</m:t>
        </m:r>
        <m:r>
          <m:rPr>
            <m:sty m:val="p"/>
          </m:rPr>
          <m:t>(</m:t>
        </m:r>
        <m:r>
          <m:t>k</m:t>
        </m:r>
        <m:r>
          <m:rPr>
            <m:sty m:val="p"/>
          </m:rPr>
          <m:t>)</m:t>
        </m:r>
        <m:r>
          <m:rPr>
            <m:sty m:val="p"/>
          </m:rPr>
          <m:t>=</m:t>
        </m:r>
        <m:sSub>
          <m:e>
            <m:r>
              <m:t>G</m:t>
            </m:r>
          </m:e>
          <m:sub>
            <m:r>
              <m:t>0</m:t>
            </m:r>
          </m:sub>
        </m:sSub>
        <m:r>
          <m:rPr>
            <m:sty m:val="p"/>
          </m:rPr>
          <m:t>/</m:t>
        </m:r>
        <m:r>
          <m:rPr>
            <m:sty m:val="p"/>
          </m:rPr>
          <m:t>(</m:t>
        </m:r>
        <m:r>
          <m:t>1</m:t>
        </m:r>
        <m:r>
          <m:rPr>
            <m:sty m:val="p"/>
          </m:rPr>
          <m:t>+</m:t>
        </m:r>
        <m:r>
          <m:t>ω</m:t>
        </m:r>
        <m:sSup>
          <m:e>
            <m:r>
              <m:t>k</m:t>
            </m:r>
          </m:e>
          <m:sup>
            <m:r>
              <m:t>2</m:t>
            </m:r>
          </m:sup>
        </m:sSup>
        <m:r>
          <m:rPr>
            <m:sty m:val="p"/>
          </m:rPr>
          <m:t>)</m:t>
        </m:r>
      </m:oMath>
      <w:r>
        <w:t xml:space="preserve"> </w:t>
      </w:r>
      <w:r>
        <w:t xml:space="preserve">yields</w:t>
      </w:r>
    </w:p>
    <w:p>
      <w:pPr>
        <w:pStyle w:val="BodyText"/>
      </w:pPr>
      <m:oMathPara>
        <m:oMathParaPr>
          <m:jc m:val="center"/>
        </m:oMathParaPr>
        <m:oMath>
          <m:r>
            <m:t>G</m:t>
          </m:r>
          <m:r>
            <m:rPr>
              <m:sty m:val="p"/>
            </m:rPr>
            <m:t>(</m:t>
          </m:r>
          <m:r>
            <m:t>χ</m:t>
          </m:r>
          <m:r>
            <m:rPr>
              <m:sty m:val="p"/>
            </m:rPr>
            <m:t>)</m:t>
          </m:r>
          <m:r>
            <m:rPr>
              <m:sty m:val="p"/>
            </m:rPr>
            <m:t>=</m:t>
          </m:r>
          <m:f>
            <m:fPr>
              <m:type m:val="bar"/>
            </m:fPr>
            <m:num>
              <m:sSub>
                <m:e>
                  <m:r>
                    <m:t>G</m:t>
                  </m:r>
                </m:e>
                <m:sub>
                  <m:r>
                    <m:t>0</m:t>
                  </m:r>
                </m:sub>
              </m:sSub>
            </m:num>
            <m:den>
              <m:r>
                <m:t>1</m:t>
              </m:r>
              <m:r>
                <m:rPr>
                  <m:sty m:val="p"/>
                </m:rPr>
                <m:t>+</m:t>
              </m:r>
              <m:r>
                <m:t>ω</m:t>
              </m:r>
              <m:sSup>
                <m:e>
                  <m:r>
                    <m:t>ζ</m:t>
                  </m:r>
                </m:e>
                <m:sup>
                  <m:r>
                    <m:t>2</m:t>
                  </m:r>
                </m:sup>
              </m:sSup>
              <m:r>
                <m:t>H</m:t>
              </m:r>
              <m:r>
                <m:rPr>
                  <m:sty m:val="p"/>
                </m:rPr>
                <m:t>(</m:t>
              </m:r>
              <m:r>
                <m:t>χ</m:t>
              </m:r>
              <m:sSup>
                <m:e>
                  <m:r>
                    <m:rPr>
                      <m:sty m:val="p"/>
                    </m:rPr>
                    <m:t>)</m:t>
                  </m:r>
                </m:e>
                <m:sup>
                  <m:r>
                    <m:t>2</m:t>
                  </m:r>
                </m:sup>
              </m:sSup>
            </m:den>
          </m:f>
          <m:r>
            <m:rPr>
              <m:sty m:val="p"/>
            </m:rPr>
            <m:t>,</m:t>
          </m:r>
        </m:oMath>
      </m:oMathPara>
    </w:p>
    <w:p>
      <w:pPr>
        <w:pStyle w:val="FirstParagraph"/>
      </w:pPr>
      <w:r>
        <w:t xml:space="preserve">which near</w:t>
      </w:r>
      <w:r>
        <w:t xml:space="preserve"> </w:t>
      </w:r>
      <m:oMath>
        <m:sSub>
          <m:e>
            <m:r>
              <m:t>χ</m:t>
            </m:r>
          </m:e>
          <m:sub>
            <m:r>
              <m:t>0</m:t>
            </m:r>
          </m:sub>
        </m:sSub>
      </m:oMath>
      <w:r>
        <w:t xml:space="preserve"> </w:t>
      </w:r>
      <w:r>
        <w:t xml:space="preserve">produces a Gaussian-like threshold feature mapping onto the phenomenological</w:t>
      </w:r>
      <w:r>
        <w:t xml:space="preserve"> </w:t>
      </w:r>
      <m:oMath>
        <m:r>
          <m:t>F</m:t>
        </m:r>
        <m:r>
          <m:rPr>
            <m:sty m:val="p"/>
          </m:rPr>
          <m:t>(</m:t>
        </m:r>
        <m:r>
          <m:t>χ</m:t>
        </m:r>
        <m:r>
          <m:rPr>
            <m:sty m:val="p"/>
          </m:rPr>
          <m:t>)</m:t>
        </m:r>
      </m:oMath>
      <w:r>
        <w:t xml:space="preserve"> </w:t>
      </w:r>
      <w:r>
        <w:t xml:space="preserve">ansatz, illustrating how FRG threshold effects can seed inflationary screening.</w:t>
      </w:r>
    </w:p>
    <w:bookmarkEnd w:id="41"/>
    <w:bookmarkStart w:id="42" w:name="sec:data"/>
    <w:p>
      <w:pPr>
        <w:pStyle w:val="Heading1"/>
      </w:pPr>
      <w:r>
        <w:t xml:space="preserve">Data Availability</w:t>
      </w:r>
    </w:p>
    <w:p>
      <w:pPr>
        <w:pStyle w:val="FirstParagraph"/>
      </w:pPr>
      <w:r>
        <w:t xml:space="preserve">The MCMC chains, configuration files (.param, .ini), covariance matrices,</w:t>
      </w:r>
      <w:r>
        <w:t xml:space="preserve"> </w:t>
      </w:r>
      <w:r>
        <w:rPr>
          <w:smallCaps/>
        </w:rPr>
        <w:t xml:space="preserve">GetDist</w:t>
      </w:r>
      <w:r>
        <w:t xml:space="preserve"> </w:t>
      </w:r>
      <w:r>
        <w:t xml:space="preserve">outputs,</w:t>
      </w:r>
      <w:r>
        <w:t xml:space="preserve"> </w:t>
      </w:r>
      <w:r>
        <w:rPr>
          <w:smallCaps/>
        </w:rPr>
        <w:t xml:space="preserve">CLASS</w:t>
      </w:r>
      <w:r>
        <w:t xml:space="preserve"> </w:t>
      </w:r>
      <w:r>
        <w:t xml:space="preserve">patches, and Python scripts will be made publicly available on Zenodo (DOI forthcoming). This will enable full reproduction of the results in</w:t>
      </w:r>
      <w:r>
        <w:t xml:space="preserve"> </w:t>
      </w:r>
      <w:hyperlink w:anchor="X1496898e93f7a99d01e4ebcde485c43401a0469">
        <w:r>
          <w:rPr>
            <w:rStyle w:val="Hyperlink"/>
          </w:rPr>
          <w:t xml:space="preserve">[tab:constraints,tab:forecasts,fig:alpha,fig:nsr,fig:FU]</w:t>
        </w:r>
      </w:hyperlink>
      <w:r>
        <w:t xml:space="preserve"> </w:t>
      </w:r>
      <w:r>
        <w:t xml:space="preserve">and the associated likelihood pipeline.</w:t>
      </w:r>
    </w:p>
    <w:bookmarkEnd w:id="42"/>
    <w:bookmarkStart w:id="43" w:name="X39329bea501477fa5cdd708a70f6d83b6ca7779"/>
    <w:p>
      <w:pPr>
        <w:pStyle w:val="Heading1"/>
      </w:pPr>
      <w:r>
        <w:t xml:space="preserve">Appendix A — Numerical verification with CLASS</w:t>
      </w:r>
    </w:p>
    <w:p>
      <w:pPr>
        <w:pStyle w:val="FirstParagraph"/>
      </w:pPr>
      <w:r>
        <w:t xml:space="preserve">To validate the slow-roll predictions with a sharp RG-induced threshold we solved the background and perturbations using</w:t>
      </w:r>
      <w:r>
        <w:t xml:space="preserve"> </w:t>
      </w:r>
      <w:r>
        <w:rPr>
          <w:smallCaps/>
        </w:rPr>
        <w:t xml:space="preserve">CLASS</w:t>
      </w:r>
      <w:r>
        <w:t xml:space="preserve">, implementing</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directly. For</w:t>
      </w:r>
      <w:r>
        <w:t xml:space="preserve"> </w:t>
      </w:r>
      <w:r>
        <w:t xml:space="preserve">$(\beta,\Delta,\chi_{0},\mu)=(0.3,0.5M_{\rm Pl},5M_{\rm Pl},5M_{\rm Pl})$</w:t>
      </w:r>
      <w:r>
        <w:t xml:space="preserve"> </w:t>
      </w:r>
      <w:r>
        <w:t xml:space="preserve">the numerical result is</w:t>
      </w:r>
      <w:r>
        <w:t xml:space="preserve"> </w:t>
      </w:r>
      <m:oMath>
        <m:sSub>
          <m:e>
            <m:r>
              <m:t>n</m:t>
            </m:r>
          </m:e>
          <m:sub>
            <m:r>
              <m:t>s</m:t>
            </m:r>
          </m:sub>
        </m:sSub>
        <m:r>
          <m:rPr>
            <m:sty m:val="p"/>
          </m:rPr>
          <m:t>≈</m:t>
        </m:r>
        <m:r>
          <m:t>0.965</m:t>
        </m:r>
      </m:oMath>
      <w:r>
        <w:t xml:space="preserve">,</w:t>
      </w:r>
      <w:r>
        <w:t xml:space="preserve"> </w:t>
      </w:r>
      <m:oMath>
        <m:r>
          <m:t>r</m:t>
        </m:r>
        <m:r>
          <m:rPr>
            <m:sty m:val="p"/>
          </m:rPr>
          <m:t>≈</m:t>
        </m:r>
        <m:r>
          <m:t>6.2</m:t>
        </m:r>
        <m:r>
          <m:rPr>
            <m:sty m:val="p"/>
          </m:rPr>
          <m:t>×</m:t>
        </m:r>
        <m:sSup>
          <m:e>
            <m:r>
              <m:t>10</m:t>
            </m:r>
          </m:e>
          <m:sup>
            <m:r>
              <m:rPr>
                <m:sty m:val="p"/>
              </m:rPr>
              <m:t>−</m:t>
            </m:r>
            <m:r>
              <m:t>3</m:t>
            </m:r>
          </m:sup>
        </m:sSup>
      </m:oMath>
      <w:r>
        <w:t xml:space="preserve">,</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matching the second-order slow-roll estimate within</w:t>
      </w:r>
      <w:r>
        <w:t xml:space="preserve"> </w:t>
      </w:r>
      <m:oMath>
        <m:r>
          <m:rPr>
            <m:sty m:val="p"/>
          </m:rPr>
          <m:t>|</m:t>
        </m:r>
        <m:r>
          <m:rPr>
            <m:sty m:val="p"/>
          </m:rPr>
          <m:t>Δ</m:t>
        </m:r>
        <m:sSub>
          <m:e>
            <m:r>
              <m:t>α</m:t>
            </m:r>
          </m:e>
          <m:sub>
            <m:r>
              <m:t>s</m:t>
            </m:r>
          </m:sub>
        </m:sSub>
        <m:r>
          <m:rPr>
            <m:sty m:val="p"/>
          </m:rPr>
          <m:t>|</m:t>
        </m:r>
        <m:r>
          <m:rPr>
            <m:sty m:val="p"/>
          </m:rPr>
          <m:t>&lt;</m:t>
        </m:r>
        <m:sSup>
          <m:e>
            <m:r>
              <m:t>10</m:t>
            </m:r>
          </m:e>
          <m:sup>
            <m:r>
              <m:rPr>
                <m:sty m:val="p"/>
              </m:rPr>
              <m:t>−</m:t>
            </m:r>
            <m:r>
              <m:t>4</m:t>
            </m:r>
          </m:sup>
        </m:sSup>
      </m:oMath>
      <w:r>
        <w:t xml:space="preserve">. Scripts (including the</w:t>
      </w:r>
      <w:r>
        <w:t xml:space="preserve"> </w:t>
      </w:r>
      <w:r>
        <w:rPr>
          <w:smallCaps/>
        </w:rPr>
        <w:t xml:space="preserve">CLASS</w:t>
      </w:r>
      <w:r>
        <w:t xml:space="preserve"> </w:t>
      </w:r>
      <w:r>
        <w:t xml:space="preserve">patch and potential tables) will accompany the public release.</w:t>
      </w:r>
    </w:p>
    <w:bookmarkEnd w:id="43"/>
    <w:bookmarkStart w:id="44" w:name="Xf706b77f1078ef9def84187d8102f98cfdfec65"/>
    <w:p>
      <w:pPr>
        <w:pStyle w:val="Heading1"/>
      </w:pPr>
      <w:r>
        <w:t xml:space="preserve">Appendix B — CLASS implementation via external spectra</w:t>
      </w:r>
    </w:p>
    <w:p>
      <w:pPr>
        <w:pStyle w:val="FirstParagraph"/>
      </w:pPr>
      <w:r>
        <w:t xml:space="preserve">To embed the RG-threshold mechanism without modifying the</w:t>
      </w:r>
      <w:r>
        <w:t xml:space="preserve"> </w:t>
      </w:r>
      <w:r>
        <w:rPr>
          <w:smallCaps/>
        </w:rPr>
        <w:t xml:space="preserve">CLASS</w:t>
      </w:r>
      <w:r>
        <w:t xml:space="preserve"> </w:t>
      </w:r>
      <w:r>
        <w:t xml:space="preserve">source, we use the</w:t>
      </w:r>
      <w:r>
        <w:t xml:space="preserve"> </w:t>
      </w:r>
      <w:r>
        <w:rPr>
          <w:rStyle w:val="VerbatimChar"/>
        </w:rPr>
        <w:t xml:space="preserve">external_Pk</w:t>
      </w:r>
      <w:r>
        <w:t xml:space="preserve"> </w:t>
      </w:r>
      <w:r>
        <w:t xml:space="preserve">interface. A Python wrapper solves the background, maps</w:t>
      </w:r>
      <w:r>
        <w:t xml:space="preserve"> </w:t>
      </w:r>
      <m:oMath>
        <m:r>
          <m:t>k</m:t>
        </m:r>
        <m:r>
          <m:rPr>
            <m:sty m:val="p"/>
          </m:rPr>
          <m:t>↦</m:t>
        </m:r>
        <m:sSub>
          <m:e>
            <m:r>
              <m:t>N</m:t>
            </m:r>
          </m:e>
          <m:sub>
            <m:r>
              <m:t>k</m:t>
            </m:r>
          </m:sub>
        </m:sSub>
        <m:r>
          <m:rPr>
            <m:sty m:val="p"/>
          </m:rPr>
          <m:t>↦</m:t>
        </m:r>
        <m:sSub>
          <m:e>
            <m:r>
              <m:t>χ</m:t>
            </m:r>
          </m:e>
          <m:sub>
            <m:r>
              <m:t>k</m:t>
            </m:r>
          </m:sub>
        </m:sSub>
      </m:oMath>
      <w:r>
        <w:t xml:space="preserve">, computes slow-roll parameters including</w:t>
      </w:r>
      <w:r>
        <w:t xml:space="preserve"> </w:t>
      </w:r>
      <m:oMath>
        <m:sSup>
          <m:e>
            <m:r>
              <m:t>F</m:t>
            </m:r>
          </m:e>
          <m:sup>
            <m:r>
              <m:rPr>
                <m:sty m:val="p"/>
              </m:rPr>
              <m:t>″</m:t>
            </m:r>
          </m:sup>
        </m:sSup>
        <m:r>
          <m:rPr>
            <m:sty m:val="p"/>
          </m:rPr>
          <m:t>/</m:t>
        </m:r>
        <m:r>
          <m:t>F</m:t>
        </m:r>
      </m:oMath>
      <w:r>
        <w:t xml:space="preserve">, and exports</w:t>
      </w:r>
      <w:r>
        <w:t xml:space="preserve"> </w:t>
      </w:r>
      <m:oMath>
        <m:sSub>
          <m:e>
            <m:r>
              <m:t>P</m:t>
            </m:r>
          </m:e>
          <m:sub>
            <m:r>
              <m:t>ζ</m:t>
            </m:r>
          </m:sub>
        </m:sSub>
        <m:r>
          <m:rPr>
            <m:sty m:val="p"/>
          </m:rPr>
          <m:t>(</m:t>
        </m:r>
        <m:r>
          <m:t>k</m:t>
        </m:r>
        <m:r>
          <m:rPr>
            <m:sty m:val="p"/>
          </m:rPr>
          <m:t>)</m:t>
        </m:r>
      </m:oMath>
      <w:r>
        <w:t xml:space="preserve"> </w:t>
      </w:r>
      <w:r>
        <w:t xml:space="preserve">and</w:t>
      </w:r>
      <w:r>
        <w:t xml:space="preserve"> </w:t>
      </w:r>
      <m:oMath>
        <m:sSub>
          <m:e>
            <m:r>
              <m:t>P</m:t>
            </m:r>
          </m:e>
          <m:sub>
            <m:r>
              <m:t>h</m:t>
            </m:r>
          </m:sub>
        </m:sSub>
        <m:r>
          <m:rPr>
            <m:sty m:val="p"/>
          </m:rPr>
          <m:t>(</m:t>
        </m:r>
        <m:r>
          <m:t>k</m:t>
        </m:r>
        <m:r>
          <m:rPr>
            <m:sty m:val="p"/>
          </m:rPr>
          <m:t>)</m:t>
        </m:r>
      </m:oMath>
      <w:r>
        <w:t xml:space="preserve">.</w:t>
      </w:r>
      <w:r>
        <w:t xml:space="preserve"> </w:t>
      </w:r>
      <w:r>
        <w:rPr>
          <w:smallCaps/>
        </w:rPr>
        <w:t xml:space="preserve">CLASS</w:t>
      </w:r>
      <w:r>
        <w:t xml:space="preserve"> </w:t>
      </w:r>
      <w:r>
        <w:t xml:space="preserve">reads these spectra via</w:t>
      </w:r>
    </w:p>
    <w:p>
      <w:pPr>
        <w:pStyle w:val="SourceCode"/>
      </w:pPr>
      <w:r>
        <w:rPr>
          <w:rStyle w:val="VerbatimChar"/>
        </w:rPr>
        <w:t xml:space="preserve">P_k_ini_type = external_Pk</w:t>
      </w:r>
      <w:r>
        <w:br/>
      </w:r>
      <w:r>
        <w:rPr>
          <w:rStyle w:val="VerbatimChar"/>
        </w:rPr>
        <w:t xml:space="preserve">command = python scripts/rg_spectrum_class.py 0.3 0.5</w:t>
      </w:r>
      <w:r>
        <w:br/>
      </w:r>
      <w:r>
        <w:rPr>
          <w:rStyle w:val="VerbatimChar"/>
        </w:rPr>
        <w:t xml:space="preserve">A_s = 2.1e-9</w:t>
      </w:r>
      <w:r>
        <w:br/>
      </w:r>
      <w:r>
        <w:rPr>
          <w:rStyle w:val="VerbatimChar"/>
        </w:rPr>
        <w:t xml:space="preserve">modes = s, t</w:t>
      </w:r>
    </w:p>
    <w:p>
      <w:pPr>
        <w:pStyle w:val="FirstParagraph"/>
      </w:pPr>
      <w:r>
        <w:t xml:space="preserve">ensuring that the sharp feature in</w:t>
      </w:r>
      <w:r>
        <w:t xml:space="preserve"> </w:t>
      </w:r>
      <m:oMath>
        <m:r>
          <m:t>F</m:t>
        </m:r>
        <m:r>
          <m:rPr>
            <m:sty m:val="p"/>
          </m:rPr>
          <m:t>(</m:t>
        </m:r>
        <m:r>
          <m:t>χ</m:t>
        </m:r>
        <m:r>
          <m:rPr>
            <m:sty m:val="p"/>
          </m:rPr>
          <m:t>)</m:t>
        </m:r>
      </m:oMath>
      <w:r>
        <w:t xml:space="preserve"> </w:t>
      </w:r>
      <w:r>
        <w:t xml:space="preserve">is captured exactly in the primordial spectra.</w:t>
      </w:r>
    </w:p>
    <w:bookmarkEnd w:id="44"/>
    <w:bookmarkStart w:id="50" w:name="acknowledgments"/>
    <w:p>
      <w:pPr>
        <w:pStyle w:val="Heading1"/>
      </w:pPr>
      <w:r>
        <w:t xml:space="preserve">Acknowledgments</w:t>
      </w:r>
    </w:p>
    <w:p>
      <w:pPr>
        <w:pStyle w:val="FirstParagraph"/>
      </w:pPr>
      <w:r>
        <w:t xml:space="preserve">We thank the ASG community members who contributed numerical stability tests and polished the draft.</w:t>
      </w:r>
    </w:p>
    <w:p>
      <w:pPr>
        <w:pStyle w:val="BodyText"/>
      </w:pPr>
      <w:r>
        <w:t xml:space="preserve">9</w:t>
      </w:r>
      <w:r>
        <w:t xml:space="preserve"> </w:t>
      </w:r>
      <w:r>
        <w:t xml:space="preserve">Planck Collaboration: N. Aghanim et al.,</w:t>
      </w:r>
      <w:r>
        <w:t xml:space="preserve"> </w:t>
      </w:r>
      <w:r>
        <w:t xml:space="preserve">“Planck 2018 results. VI. Cosmological parameters,”</w:t>
      </w:r>
      <w:r>
        <w:t xml:space="preserve"> </w:t>
      </w:r>
      <w:r>
        <w:rPr>
          <w:i/>
          <w:iCs/>
        </w:rPr>
        <w:t xml:space="preserve">Astron. Astrophys.</w:t>
      </w:r>
      <w:r>
        <w:t xml:space="preserve"> </w:t>
      </w:r>
      <w:r>
        <w:rPr>
          <w:b/>
          <w:bCs/>
        </w:rPr>
        <w:t xml:space="preserve">641</w:t>
      </w:r>
      <w:r>
        <w:t xml:space="preserve">, A6 (2020),</w:t>
      </w:r>
      <w:r>
        <w:t xml:space="preserve"> </w:t>
      </w:r>
      <w:hyperlink r:id="rId45">
        <w:r>
          <w:rPr>
            <w:rStyle w:val="Hyperlink"/>
          </w:rPr>
          <w:t xml:space="preserve">arXiv:1807.06209</w:t>
        </w:r>
      </w:hyperlink>
      <w:r>
        <w:t xml:space="preserve">.</w:t>
      </w:r>
    </w:p>
    <w:p>
      <w:pPr>
        <w:pStyle w:val="BodyText"/>
      </w:pPr>
      <w:r>
        <w:t xml:space="preserve">R. Kallosh and A. Linde,</w:t>
      </w:r>
      <w:r>
        <w:t xml:space="preserve"> </w:t>
      </w:r>
      <w:r>
        <w:t xml:space="preserve">“Superconformal Inflationary</w:t>
      </w:r>
      <w:r>
        <w:t xml:space="preserve"> </w:t>
      </w:r>
      <m:oMath>
        <m:r>
          <m:t>α</m:t>
        </m:r>
      </m:oMath>
      <w:r>
        <w:t xml:space="preserve">-Attractors,”</w:t>
      </w:r>
      <w:r>
        <w:t xml:space="preserve"> </w:t>
      </w:r>
      <w:hyperlink r:id="rId46">
        <w:r>
          <w:rPr>
            <w:rStyle w:val="Hyperlink"/>
          </w:rPr>
          <w:t xml:space="preserve">arXiv:1311.0472</w:t>
        </w:r>
      </w:hyperlink>
      <w:r>
        <w:t xml:space="preserve">.</w:t>
      </w:r>
    </w:p>
    <w:p>
      <w:pPr>
        <w:pStyle w:val="BodyText"/>
      </w:pPr>
      <w:r>
        <w:t xml:space="preserve">F. Saueressig, J. Wang, and M. Yamada,</w:t>
      </w:r>
      <w:r>
        <w:t xml:space="preserve"> </w:t>
      </w:r>
      <w:r>
        <w:t xml:space="preserve">“The Functional Renormalization Group in Quantum Gravity,”</w:t>
      </w:r>
      <w:r>
        <w:t xml:space="preserve"> </w:t>
      </w:r>
      <w:hyperlink r:id="rId47">
        <w:r>
          <w:rPr>
            <w:rStyle w:val="Hyperlink"/>
          </w:rPr>
          <w:t xml:space="preserve">arXiv:2302.14152</w:t>
        </w:r>
      </w:hyperlink>
      <w:r>
        <w:t xml:space="preserve">.</w:t>
      </w:r>
    </w:p>
    <w:p>
      <w:pPr>
        <w:pStyle w:val="BodyText"/>
      </w:pPr>
      <w:r>
        <w:t xml:space="preserve">M. Reuter,</w:t>
      </w:r>
      <w:r>
        <w:t xml:space="preserve"> </w:t>
      </w:r>
      <w:r>
        <w:t xml:space="preserve">“Nonperturbative evolution equation for quantum gravity,”</w:t>
      </w:r>
      <w:r>
        <w:t xml:space="preserve"> </w:t>
      </w:r>
      <w:r>
        <w:rPr>
          <w:i/>
          <w:iCs/>
        </w:rPr>
        <w:t xml:space="preserve">Phys. Rev. D</w:t>
      </w:r>
      <w:r>
        <w:t xml:space="preserve"> </w:t>
      </w:r>
      <w:r>
        <w:rPr>
          <w:b/>
          <w:bCs/>
        </w:rPr>
        <w:t xml:space="preserve">57</w:t>
      </w:r>
      <w:r>
        <w:t xml:space="preserve">, 971 (1998),</w:t>
      </w:r>
      <w:r>
        <w:t xml:space="preserve"> </w:t>
      </w:r>
      <w:hyperlink r:id="rId48">
        <w:r>
          <w:rPr>
            <w:rStyle w:val="Hyperlink"/>
          </w:rPr>
          <w:t xml:space="preserve">hep-th/9605030</w:t>
        </w:r>
      </w:hyperlink>
      <w:r>
        <w:t xml:space="preserve">.</w:t>
      </w:r>
    </w:p>
    <w:p>
      <w:pPr>
        <w:pStyle w:val="BodyText"/>
      </w:pPr>
      <w:r>
        <w:t xml:space="preserve">A. Ashtekar, T. Pawlowski, and P. Singh,</w:t>
      </w:r>
      <w:r>
        <w:t xml:space="preserve"> </w:t>
      </w:r>
      <w:r>
        <w:t xml:space="preserve">“Quantum nature of the big bang: Improved dynamics,”</w:t>
      </w:r>
      <w:r>
        <w:t xml:space="preserve"> </w:t>
      </w:r>
      <w:r>
        <w:rPr>
          <w:i/>
          <w:iCs/>
        </w:rPr>
        <w:t xml:space="preserve">Phys. Rev. D</w:t>
      </w:r>
      <w:r>
        <w:t xml:space="preserve"> </w:t>
      </w:r>
      <w:r>
        <w:rPr>
          <w:b/>
          <w:bCs/>
        </w:rPr>
        <w:t xml:space="preserve">74</w:t>
      </w:r>
      <w:r>
        <w:t xml:space="preserve">, 084003 (2006),</w:t>
      </w:r>
      <w:r>
        <w:t xml:space="preserve"> </w:t>
      </w:r>
      <w:hyperlink r:id="rId49">
        <w:r>
          <w:rPr>
            <w:rStyle w:val="Hyperlink"/>
          </w:rPr>
          <w:t xml:space="preserve">gr-qc/0607039</w:t>
        </w:r>
      </w:hyperlink>
      <w:r>
        <w:t xml:space="preserv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df" /><Relationship Type="http://schemas.openxmlformats.org/officeDocument/2006/relationships/image" Id="rId25" Target="media/rId25.pdf" /><Relationship Type="http://schemas.openxmlformats.org/officeDocument/2006/relationships/image" Id="rId30" Target="media/rId30.pdf" /><Relationship Type="http://schemas.openxmlformats.org/officeDocument/2006/relationships/hyperlink" Id="rId46" Target="https://arxiv.org/abs/1311.0472" TargetMode="External" /><Relationship Type="http://schemas.openxmlformats.org/officeDocument/2006/relationships/hyperlink" Id="rId45" Target="https://arxiv.org/abs/1807.06209" TargetMode="External" /><Relationship Type="http://schemas.openxmlformats.org/officeDocument/2006/relationships/hyperlink" Id="rId47" Target="https://arxiv.org/abs/2302.14152" TargetMode="External" /><Relationship Type="http://schemas.openxmlformats.org/officeDocument/2006/relationships/hyperlink" Id="rId49" Target="https://arxiv.org/abs/gr-qc/0607039" TargetMode="External" /><Relationship Type="http://schemas.openxmlformats.org/officeDocument/2006/relationships/hyperlink" Id="rId48" Target="https://arxiv.org/abs/hep-th/9605030" TargetMode="External" /></Relationships>
</file>

<file path=word/_rels/footnotes.xml.rels><?xml version="1.0" encoding="UTF-8"?><Relationships xmlns="http://schemas.openxmlformats.org/package/2006/relationships"><Relationship Type="http://schemas.openxmlformats.org/officeDocument/2006/relationships/hyperlink" Id="rId46" Target="https://arxiv.org/abs/1311.0472" TargetMode="External" /><Relationship Type="http://schemas.openxmlformats.org/officeDocument/2006/relationships/hyperlink" Id="rId45" Target="https://arxiv.org/abs/1807.06209" TargetMode="External" /><Relationship Type="http://schemas.openxmlformats.org/officeDocument/2006/relationships/hyperlink" Id="rId47" Target="https://arxiv.org/abs/2302.14152" TargetMode="External" /><Relationship Type="http://schemas.openxmlformats.org/officeDocument/2006/relationships/hyperlink" Id="rId49" Target="https://arxiv.org/abs/gr-qc/0607039" TargetMode="External" /><Relationship Type="http://schemas.openxmlformats.org/officeDocument/2006/relationships/hyperlink" Id="rId48" Target="https://arxiv.org/abs/hep-th/96050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Threshold-Induced Gravitational Screening as the Origin of Inflationary Attractors</dc:title>
  <dc:creator>[Your Name(s)]</dc:creator>
  <cp:keywords/>
  <dcterms:created xsi:type="dcterms:W3CDTF">2026-03-03T09:23:59Z</dcterms:created>
  <dcterms:modified xsi:type="dcterms:W3CDTF">2026-03-03T09:23:59Z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investigate an inflationary mechanism in which the attractor behaviour arises from a field-dependent Planck mass rather than from a specially tuned scalar potential. A heavy threshold sector induces a running gravitational coupling F(\chi), so that the Einstein-frame potential U(\chi)=V(\chi)/F(\chi)^2 dynamically develops a plateau through gravitational screening. Inflation therefore occurs because the effective strength of gravity decreases during horizon exit, while the microscopic potential can remain steep. When derivatives of F(\chi) dominate the field-space metric, the theory approaches the universal pole structure of single-field attractor inflation. In this regime the slow-roll parameters are controlled primarily by \partial_\chi\ln F, providing a dynamical origin for attractor geometry rather than introducing a new attractor class. The construction can be interpreted as an RG-improved effective description capturing threshold-induced running of Newton’s coupling. Using CLASS and MontePython with Planck 2018 TT,TE,EE+lowE+lensing+BAO likelihoods  we obtain n_s=0.9647\pm0.0041 and r=(6.2^{+2.0}_{-1.7})\times10^{-3}. Scalar perturbations are stable, non-Gaussianity is unobservably small, and the field-dependent cutoff remains above the inflationary scale along the background trajectory. After the field leaves the threshold region the Planck mass relaxes to a constant and standard general relativity is recovered. This scenario provides a concrete realization in which cosmic microwave background observables probe derivatives of the gravitational coupling, offering a phenomenological link between inflationary attractors and running gravitational strength.</vt:lpwstr>
  </property>
  <property fmtid="{D5CDD505-2E9C-101B-9397-08002B2CF9AE}" pid="3" name="date">
    <vt:lpwstr>2026-03-03</vt:lpwstr>
  </property>
</Properties>
</file>