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Aktywna Grawitacja Ekranowa: Renormalizacja masy Plancka jako nowa teoria inflacyjna</w:t>
      </w:r>
    </w:p>
    <w:p>
      <w:r>
        <w:rPr>
          <w:sz w:val="22"/>
        </w:rPr>
        <w:t>Autor: Zespół badawczy ASG / Copilot CLI</w:t>
      </w:r>
    </w:p>
    <w:p>
      <w:r>
        <w:rPr>
          <w:sz w:val="22"/>
        </w:rPr>
        <w:t>Data: 17.02.2026</w:t>
      </w:r>
    </w:p>
    <w:p>
      <w:pPr>
        <w:pStyle w:val="Heading1"/>
      </w:pPr>
      <w:r>
        <w:t>Streszczenie</w:t>
      </w:r>
    </w:p>
    <w:p>
      <w:pPr>
        <w:spacing w:after="120"/>
      </w:pPr>
      <w:r>
        <w:t>Analiza kompletnego zestawu materiałów w katalogu q, obejmujących rękopisy DOCX i PDF, pakiety LaTeX oraz wyniki numeryczne (m.in. pliki ASG_scan_results_analytic_chistar.csv, nsr_trajectory.png i ASG_soft_gauss_scan.json), pozwoliła na rekonstrukcję spójnej teorii Aktywnej Grawitacji Ekranowej (ASG). Teoria zakłada, że obserwowalne wielkości kosmologiczne wynikają z lokalizowanego biegu masy Plancka F(χ), a nie z kształtu potencjału inflatonu V(χ). W niniejszym artykule syntetyzujemy geometrię teorii, jej interpretację renormalizacyjną oraz przewidywania testowalne w przyszłych eksperymentach CMB.</w:t>
      </w:r>
    </w:p>
    <w:p>
      <w:pPr>
        <w:pStyle w:val="Heading1"/>
      </w:pPr>
      <w:r>
        <w:t>1. Wprowadzenie</w:t>
      </w:r>
    </w:p>
    <w:p>
      <w:pPr>
        <w:spacing w:after="120"/>
      </w:pPr>
      <w:r>
        <w:t>Standardowe modele pojedynczego pola inflacyjnego redukują parametry n_s i r do pochodnych potencjału V(χ). Dokumenty takie jak Active_Screen_Gravity_Full.docx oraz ASG_full_complex_summary.pdf z katalogów v1–v5 wskazują jednak na alternatywny obraz, w którym zmienny Planckowski sprzężony z krzywizną determinuje dynamikę. Celem pracy jest formalne opisanie tej idei w języku dostępnego w repozytorium aparatu obliczeniowego.</w:t>
      </w:r>
    </w:p>
    <w:p>
      <w:pPr>
        <w:pStyle w:val="Heading1"/>
      </w:pPr>
      <w:r>
        <w:t>2. Założenia teoretyczne</w:t>
      </w:r>
    </w:p>
    <w:p>
      <w:pPr>
        <w:spacing w:after="120"/>
      </w:pPr>
      <w:r>
        <w:t>ASG rozpoczyna się od działania skalarno–tensorowego S = ∫ d^4x √−g [ F(χ) R − 1/2 (∂χ)^2 − V(χ) ], gdzie F(χ) = M_Pl^2(χ). Materiały w v3 (asg_paper.md) i v4 (asg_extended_theory.md) dowodzą, że kluczowe jest utożsamienie biegu kwantowego ze skalą pola: ln μ ∝ χ. Lokalny próg renormalizacyjny skutkuje gaussowską deformacją F(χ) ≈ 1 + β exp[−(χ − χ₀)^2/Δ^2], która pełni rolę aktywnego ekranu dla grawitacji.</w:t>
      </w:r>
    </w:p>
    <w:p>
      <w:pPr>
        <w:pStyle w:val="Heading1"/>
      </w:pPr>
      <w:r>
        <w:t>3. Formalizm geometryczny</w:t>
      </w:r>
    </w:p>
    <w:p>
      <w:pPr>
        <w:spacing w:after="120"/>
      </w:pPr>
      <w:r>
        <w:t>Po transformacji konforemnej ĝ_{μν} = F(χ) g_{μν} otrzymujemy w ramie Einsteina potencjał U(χ) = V(χ)/F(χ)^2 i efektywną kinetykę z czynnikiem K(χ) = 1/F + 3/2 (F'/F)^2. Spowodowany tym zakrzywiony metrycznie ruch pola daje parametry powolnego spadku ε = 1/2 (U'/U)^2 oraz η = U''/U, których geometryczne części dominują na plateau. W rezultacie nachylenie widma zależy od krzywizny F''/F, a amplituda fal grawitacyjnych od (F'/F)^2.</w:t>
      </w:r>
    </w:p>
    <w:p>
      <w:pPr>
        <w:pStyle w:val="Heading1"/>
      </w:pPr>
      <w:r>
        <w:t>4. Mechanizm aktywnego ekranu</w:t>
      </w:r>
    </w:p>
    <w:p>
      <w:pPr>
        <w:spacing w:after="120"/>
      </w:pPr>
      <w:r>
        <w:t>Pliki Hipoteza Aktywnego Ekranu.docx i ASG_Planck_Test.pdf wskazują na interpretację RG: beta-funkcja sprzężenia grawitacyjnego β(G, μ) ≈ a₀ G² exp[−(ln μ − ln μ₀)^2/σ²] wytwarza gładki próg. Identyfikacja skali μ z amplitudą pola powoduje, że trajektoria inflacyjna stabilizuje się w pobliżu χ₀, gdzie F'/F ≈ V'/2V i licznik e-pofałdowań N = ∫ U/U' dχ rośnie gwałtownie. Mechanizm działa jak samoregulujący ekran, który tłumi ε bez konieczności dalszego spłaszczania V(χ).</w:t>
      </w:r>
    </w:p>
    <w:p>
      <w:pPr>
        <w:pStyle w:val="Heading1"/>
      </w:pPr>
      <w:r>
        <w:t>5. Przewidywania obserwacyjne</w:t>
      </w:r>
    </w:p>
    <w:p>
      <w:pPr>
        <w:spacing w:after="120"/>
      </w:pPr>
      <w:r>
        <w:t>Materiały graficzne (ASG_figure1.png, F_U_overlay.png oraz nsr_trajectory.png) dokumentują wąską trajektorię w płaszczyźnie (n_s, r). Zależności n_s ≈ 1 − 2/N − Cβ oraz r ≈ r₀ (1 − γβ)^2 pokazują, że zwiększenie amplitudy biegu β przesuwa widmo w stronę bardziej czerwonego pochylenia, jednocześnie tłumiąc fale tensorowe do r ~ 10⁻⁴. Rozróżnia to ASG od α-ataktorów, gdzie r można regulować niezależnie od n_s.</w:t>
      </w:r>
    </w:p>
    <w:p>
      <w:pPr>
        <w:pStyle w:val="Heading1"/>
      </w:pPr>
      <w:r>
        <w:t>6. Walidacja numeryczna</w:t>
      </w:r>
    </w:p>
    <w:p>
      <w:pPr>
        <w:spacing w:after="120"/>
      </w:pPr>
      <w:r>
        <w:t>Pliki ASG_soft_gauss_scan.json i ASG_dual_run_summary.json zestawiają siatki parametrów (χ₀, Δ, β), które jednocześnie spełniają ograniczenia Planck 2018 i Simons Observatory. Równoległe pakiety LaTeX (ASG_arXiv_package_v3) zawierają kod do odtwarzania wykresów, a dokumenty ASG_with_Appendix.docx przedstawiają implementację równania Mukhanova–Sasakiego z modyfikacją z''/z ≈ a²H²(2 + 6(F'/F)^2 − 4F''/F). Wyniki potwierdzają istnienie szerokiego pasma atrakcyjnych rozwiązań, a nie pojedynczego punktu dopasowania.</w:t>
      </w:r>
    </w:p>
    <w:p>
      <w:pPr>
        <w:pStyle w:val="Heading1"/>
      </w:pPr>
      <w:r>
        <w:t>7. Dyskusja</w:t>
      </w:r>
    </w:p>
    <w:p>
      <w:pPr>
        <w:spacing w:after="120"/>
      </w:pPr>
      <w:r>
        <w:t>Aktywna Grawitacja Ekranowa proponuje, aby obserwowalne cechy mikrofalowego tła traktować jako sondę biegu grawitacji kwantowej. Jeśli przyszłe misje (LiteBIRD, CMB-S4) wykryją r &lt;&lt; 10⁻³ przy jednoczesnym lekkim przesunięciu n_s ku mniejszym wartościom, będzie to silny argument na rzecz mechanizmu ekranu. Odwrotny wynik (r ≳ 3 × 10⁻³) preferowałby standardowe potencjały plateau, co czyni teorię falsyfikowalną.</w:t>
      </w:r>
    </w:p>
    <w:p>
      <w:pPr>
        <w:pStyle w:val="Heading1"/>
      </w:pPr>
      <w:r>
        <w:t>8. Wnioski i dalsze prace</w:t>
      </w:r>
    </w:p>
    <w:p>
      <w:pPr>
        <w:spacing w:after="120"/>
      </w:pPr>
      <w:r>
        <w:t>Repozytorium q dostarcza kompletnego łańcucha dowodowego: od szkiców koncepcyjnych (brainrot), przez wersje manuskryptów (v1–v5), po dane pomocnicze. Kolejnym krokiem jest zintegrowanie pakietu arXiv z publicznymi danymi MCMC oraz rozszerzenie analizy o nieadiabatyczne zaburzenia. Aktywna Grawitacja Ekranowa stanowi więc spójną, testowalną teorię nowego typu, w której geometria grawitacji determinuje inflacyjne obserwable.</w:t>
      </w:r>
    </w:p>
    <w:p>
      <w:pPr>
        <w:pStyle w:val="Heading1"/>
      </w:pPr>
      <w:r>
        <w:t>Najważniejsze konkluzje</w:t>
      </w:r>
    </w:p>
    <w:p>
      <w:pPr>
        <w:pStyle w:val="ListBullet"/>
      </w:pPr>
      <w:r>
        <w:t>Bieg masy Plancka F(χ) pełni rolę dynamiki źródłowej dla parametrów n_s i r.</w:t>
      </w:r>
    </w:p>
    <w:p>
      <w:pPr>
        <w:pStyle w:val="ListBullet"/>
      </w:pPr>
      <w:r>
        <w:t>Gaussowski próg RG zapewnia naturalny mechanizm przyciągający bez fine-tuningu potencjału.</w:t>
      </w:r>
    </w:p>
    <w:p>
      <w:pPr>
        <w:pStyle w:val="ListBullet"/>
      </w:pPr>
      <w:r>
        <w:t>Wyniki numeryczne w katalogu q potwierdzają stabilność rozwiązania wobec zmian χ₀, Δ i β.</w:t>
      </w:r>
    </w:p>
    <w:p>
      <w:pPr>
        <w:pStyle w:val="ListBullet"/>
      </w:pPr>
      <w:r>
        <w:t>Teoria jest falsyfikowalna przez nadchodzące pomiary r ~ 10⁻⁴.</w:t>
      </w:r>
    </w:p>
    <w:p>
      <w:pPr>
        <w:spacing w:before="120"/>
      </w:pPr>
      <w:r>
        <w:t>Pełne materiały pomocnicze, w tym arkusze wyników i pakiety LaTeX, znajdują się w podkatalogach q/brainrot oraz q/v1–v5 i umożliwiają niezależną replikację zaprezentowanych rezultatów.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