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F3A1" w14:textId="77777777" w:rsidR="001326F0" w:rsidRDefault="00000000">
      <w:pPr>
        <w:pStyle w:val="Tytu"/>
      </w:pPr>
      <w:r>
        <w:t>ASG raport naukowy</w:t>
      </w:r>
    </w:p>
    <w:p w14:paraId="2AC45B8E" w14:textId="77777777" w:rsidR="001326F0" w:rsidRDefault="00000000">
      <w:pPr>
        <w:pStyle w:val="Nagwek1"/>
      </w:pPr>
      <w:bookmarkStart w:id="0" w:name="X92dbeeeca3b0c77794831c46418ab5714d07aac"/>
      <w:r>
        <w:t>Aktywna Grawitacja Ekranowa: Renormalizacja masy Plancka jako nowa teoria inflacyjna</w:t>
      </w:r>
    </w:p>
    <w:p w14:paraId="7417A18E" w14:textId="77777777" w:rsidR="001326F0" w:rsidRDefault="00000000">
      <w:pPr>
        <w:pStyle w:val="Nagwek2"/>
      </w:pPr>
      <w:bookmarkStart w:id="1" w:name="streszczenie"/>
      <w:r>
        <w:t>Streszczenie</w:t>
      </w:r>
    </w:p>
    <w:p w14:paraId="499DC935" w14:textId="77777777" w:rsidR="001326F0" w:rsidRDefault="00000000">
      <w:pPr>
        <w:pStyle w:val="FirstParagraph"/>
      </w:pPr>
      <w:r>
        <w:t xml:space="preserve">Analiza kompletu materiałów w katalogu </w:t>
      </w:r>
      <w:r>
        <w:rPr>
          <w:i/>
          <w:iCs/>
        </w:rPr>
        <w:t>q</w:t>
      </w:r>
      <w:r>
        <w:t xml:space="preserve"> (rękopisy DOCX/PDF, pakiety LaTeX, dane numeryczne w formacie CSV/JSON oraz grafika ns-r) pozwoliła na rekonstrukcję spójnej teorii Aktywnej Grawitacji Ekranowej (ASG). Teoria zakłada, że obserwowalne wielkości kosmologiczne wynikają z lokalizowanego biegu masy Plancka (F()), a nie z kształtu potencjału inflatonu (V()). Dokument pełni funkcję raportu końcowego, łącząc formalizm teoretyczny, walidację numeryczną i wskazówki obserwacyjne.</w:t>
      </w:r>
    </w:p>
    <w:p w14:paraId="453CE393" w14:textId="77777777" w:rsidR="001326F0" w:rsidRDefault="00000000">
      <w:pPr>
        <w:pStyle w:val="Nagwek2"/>
      </w:pPr>
      <w:bookmarkStart w:id="2" w:name="wprowadzenie"/>
      <w:bookmarkEnd w:id="1"/>
      <w:r>
        <w:t>1. Wprowadzenie</w:t>
      </w:r>
    </w:p>
    <w:p w14:paraId="4BF358C4" w14:textId="77777777" w:rsidR="001326F0" w:rsidRDefault="00000000">
      <w:pPr>
        <w:pStyle w:val="FirstParagraph"/>
      </w:pPr>
      <w:r>
        <w:t xml:space="preserve">Standardowe modele pojedynczego pola redukują parametry (n_s) i (r) do pochodnych potencjału (V()). Materiały takie jak </w:t>
      </w:r>
      <w:r>
        <w:rPr>
          <w:rStyle w:val="VerbatimChar"/>
        </w:rPr>
        <w:t>Active_Screen_Gravity_Full.docx</w:t>
      </w:r>
      <w:r>
        <w:t xml:space="preserve"> i </w:t>
      </w:r>
      <w:r>
        <w:rPr>
          <w:rStyle w:val="VerbatimChar"/>
        </w:rPr>
        <w:t>ASG_full_complex_summary.pdf</w:t>
      </w:r>
      <w:r>
        <w:t xml:space="preserve"> wskazują na alternatywny obraz, w którym zmienny Planckowski sprzężony z krzywizną determinuje dynamikę. Celem niniejszej pracy jest formalne opisanie tej idei w języku aparatu widocznego w repozytorium.</w:t>
      </w:r>
    </w:p>
    <w:p w14:paraId="51A1334A" w14:textId="77777777" w:rsidR="001326F0" w:rsidRDefault="00000000">
      <w:pPr>
        <w:pStyle w:val="Nagwek2"/>
      </w:pPr>
      <w:bookmarkStart w:id="3" w:name="założenia-teoretyczne"/>
      <w:bookmarkEnd w:id="2"/>
      <w:r>
        <w:t>2. Założenia teoretyczne</w:t>
      </w:r>
    </w:p>
    <w:p w14:paraId="303980CA" w14:textId="77777777" w:rsidR="001326F0" w:rsidRDefault="00000000">
      <w:pPr>
        <w:pStyle w:val="FirstParagraph"/>
      </w:pPr>
      <w:r>
        <w:t>ASG rozpoczyna się od działania skalarno–tensorowego</w:t>
      </w:r>
    </w:p>
    <w:p w14:paraId="290E963B" w14:textId="77777777" w:rsidR="001326F0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FA62EE6" w14:textId="77777777" w:rsidR="001326F0" w:rsidRDefault="00000000">
      <w:pPr>
        <w:pStyle w:val="FirstParagraph"/>
      </w:pPr>
      <w:r>
        <w:t xml:space="preserve">gdzie (F() = M_^2()). Zgodnie z plikami </w:t>
      </w:r>
      <w:r>
        <w:rPr>
          <w:rStyle w:val="VerbatimChar"/>
        </w:rPr>
        <w:t>asg_paper.md</w:t>
      </w:r>
      <w:r>
        <w:t xml:space="preserve"> i </w:t>
      </w:r>
      <w:r>
        <w:rPr>
          <w:rStyle w:val="VerbatimChar"/>
        </w:rPr>
        <w:t>asg_extended_theory.md</w:t>
      </w:r>
      <w:r>
        <w:t xml:space="preserve"> kluczowe jest utożsamienie biegu kwantowego ze skalą pola: (). Lokalny próg renormalizacyjny skutkuje gaussowską deformacją</w:t>
      </w:r>
    </w:p>
    <w:p w14:paraId="156202C0" w14:textId="77777777" w:rsidR="001326F0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C104761" w14:textId="77777777" w:rsidR="001326F0" w:rsidRDefault="00000000">
      <w:pPr>
        <w:pStyle w:val="FirstParagraph"/>
      </w:pPr>
      <w:r>
        <w:t>która pełni rolę aktywnego ekranu dla grawitacji.</w:t>
      </w:r>
    </w:p>
    <w:p w14:paraId="478F46F4" w14:textId="77777777" w:rsidR="001326F0" w:rsidRDefault="00000000">
      <w:pPr>
        <w:pStyle w:val="Nagwek2"/>
      </w:pPr>
      <w:bookmarkStart w:id="4" w:name="formalizm-geometryczny"/>
      <w:bookmarkEnd w:id="3"/>
      <w:r>
        <w:t>3. Formalizm geometryczny</w:t>
      </w:r>
    </w:p>
    <w:p w14:paraId="5EA1DC13" w14:textId="77777777" w:rsidR="001326F0" w:rsidRDefault="00000000">
      <w:pPr>
        <w:pStyle w:val="FirstParagraph"/>
      </w:pPr>
      <w:r>
        <w:t>Po transformacji konforemnej (</w:t>
      </w:r>
      <w:r>
        <w:rPr>
          <w:i/>
          <w:iCs/>
        </w:rPr>
        <w:t>{} = F() g</w:t>
      </w:r>
      <w:r>
        <w:t>{}) otrzymujemy w ramie Einsteina efektywny potencjał i metrykę pola</w:t>
      </w:r>
    </w:p>
    <w:p w14:paraId="0284B227" w14:textId="77777777" w:rsidR="001326F0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B32F33" w14:textId="77777777" w:rsidR="001326F0" w:rsidRDefault="00000000">
      <w:pPr>
        <w:pStyle w:val="FirstParagraph"/>
      </w:pPr>
      <w:r>
        <w:lastRenderedPageBreak/>
        <w:t>Pole kanoniczne spełnia (d/d= ), a parametry powolnego spadku przyjmują postać</w:t>
      </w:r>
    </w:p>
    <w:p w14:paraId="702697BC" w14:textId="77777777" w:rsidR="001326F0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9800D5" w14:textId="77777777" w:rsidR="001326F0" w:rsidRDefault="00000000">
      <w:pPr>
        <w:pStyle w:val="FirstParagraph"/>
      </w:pPr>
      <w:r>
        <w:t>Przy (U = V/F^2) otrzymujemy relacje geometryczne</w:t>
      </w:r>
    </w:p>
    <w:p w14:paraId="4964B6D5" w14:textId="77777777" w:rsidR="001326F0" w:rsidRDefault="00000000">
      <w:pPr>
        <w:pStyle w:val="Tekstpodstawowy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C6DFD9" w14:textId="77777777" w:rsidR="001326F0" w:rsidRDefault="00000000">
      <w:pPr>
        <w:pStyle w:val="FirstParagraph"/>
      </w:pPr>
      <w:r>
        <w:t>W plateau inflacyjnym pochodne (V) są małe, dlatego (n_s - 1  F’‘/F) i (r  (F’/F)^2).</w:t>
      </w:r>
    </w:p>
    <w:p w14:paraId="638652D5" w14:textId="77777777" w:rsidR="001326F0" w:rsidRDefault="00000000">
      <w:pPr>
        <w:pStyle w:val="Nagwek2"/>
      </w:pPr>
      <w:bookmarkStart w:id="5" w:name="mechanizm-aktywnego-ekranu"/>
      <w:bookmarkEnd w:id="4"/>
      <w:r>
        <w:t>4. Mechanizm aktywnego ekranu</w:t>
      </w:r>
    </w:p>
    <w:p w14:paraId="3324AEC4" w14:textId="77777777" w:rsidR="001326F0" w:rsidRDefault="00000000">
      <w:pPr>
        <w:pStyle w:val="FirstParagraph"/>
      </w:pPr>
      <w:r>
        <w:t xml:space="preserve">Interpretacja RG, rozwinięta w </w:t>
      </w:r>
      <w:r>
        <w:rPr>
          <w:rStyle w:val="VerbatimChar"/>
        </w:rPr>
        <w:t>Hipoteza Aktywnego Ekranu.docx</w:t>
      </w:r>
      <w:r>
        <w:t xml:space="preserve"> i </w:t>
      </w:r>
      <w:r>
        <w:rPr>
          <w:rStyle w:val="VerbatimChar"/>
        </w:rPr>
        <w:t>ASG_Planck_Test.pdf</w:t>
      </w:r>
      <w:r>
        <w:t>, zakłada lokalizowaną beta-funkcję</w:t>
      </w:r>
    </w:p>
    <w:p w14:paraId="21515292" w14:textId="77777777" w:rsidR="001326F0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-ln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D97BD0" w14:textId="77777777" w:rsidR="001326F0" w:rsidRDefault="00000000">
      <w:pPr>
        <w:pStyle w:val="FirstParagraph"/>
      </w:pPr>
      <w:r>
        <w:t>Identyfikacja () z amplitudą pola () daje gładki próg w (G = 1/F), który stabilizuje trajektorię inflacyjną w pobliżu (_0). Liczba e-pofałdowań</w:t>
      </w:r>
    </w:p>
    <w:p w14:paraId="7D6FAD0E" w14:textId="77777777" w:rsidR="001326F0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den>
          </m:f>
          <m:r>
            <w:rPr>
              <w:rFonts w:ascii="Cambria Math" w:hAnsi="Cambria Math"/>
            </w:rPr>
            <m:t>dχ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dχ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404EF1C4" w14:textId="77777777" w:rsidR="001326F0" w:rsidRDefault="00000000">
      <w:pPr>
        <w:pStyle w:val="FirstParagraph"/>
      </w:pPr>
      <w:r>
        <w:t>rośnie gwałtownie, gdy (F’/F V’/(2V)), co zapewnia naturalne plateau bez dodatkowego tuningu (V()).</w:t>
      </w:r>
    </w:p>
    <w:p w14:paraId="2F9DB376" w14:textId="77777777" w:rsidR="001326F0" w:rsidRDefault="00000000">
      <w:pPr>
        <w:pStyle w:val="Nagwek2"/>
      </w:pPr>
      <w:bookmarkStart w:id="6" w:name="przewidywania-obserwacyjne"/>
      <w:bookmarkEnd w:id="5"/>
      <w:r>
        <w:t>5. Przewidywania obserwacyjne</w:t>
      </w:r>
    </w:p>
    <w:p w14:paraId="4FFA85BD" w14:textId="77777777" w:rsidR="001326F0" w:rsidRDefault="00000000">
      <w:pPr>
        <w:pStyle w:val="FirstParagraph"/>
      </w:pPr>
      <w:r>
        <w:t xml:space="preserve">Grafiki </w:t>
      </w:r>
      <w:r>
        <w:rPr>
          <w:rStyle w:val="VerbatimChar"/>
        </w:rPr>
        <w:t>ASG_figure1.png</w:t>
      </w:r>
      <w:r>
        <w:t xml:space="preserve">, </w:t>
      </w:r>
      <w:r>
        <w:rPr>
          <w:rStyle w:val="VerbatimChar"/>
        </w:rPr>
        <w:t>F_U_overlay.png</w:t>
      </w:r>
      <w:r>
        <w:t xml:space="preserve"> i </w:t>
      </w:r>
      <w:r>
        <w:rPr>
          <w:rStyle w:val="VerbatimChar"/>
        </w:rPr>
        <w:t>nsr_trajectory.png</w:t>
      </w:r>
      <w:r>
        <w:t xml:space="preserve"> dokumentują wąską trajektorię w płaszczyźnie ((n_s, r)). Zależności</w:t>
      </w:r>
    </w:p>
    <w:p w14:paraId="58E995A0" w14:textId="77777777" w:rsidR="001326F0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41DFF88" w14:textId="77777777" w:rsidR="001326F0" w:rsidRDefault="00000000">
      <w:pPr>
        <w:pStyle w:val="FirstParagraph"/>
      </w:pPr>
      <w:r>
        <w:t>pokazują, że wzrost () przesuwa widmo w stronę bardziej czerwonego pochylenia, jednocześnie tłumiąc fale tensorowe do (r 10^{-4}). Mechanizm ten różni się od ()-ataktorów, gdzie (r) można regulować niezależnie.</w:t>
      </w:r>
    </w:p>
    <w:p w14:paraId="5DE0C72A" w14:textId="77777777" w:rsidR="001326F0" w:rsidRDefault="00000000">
      <w:pPr>
        <w:pStyle w:val="Nagwek2"/>
      </w:pPr>
      <w:bookmarkStart w:id="7" w:name="walidacja-numeryczna"/>
      <w:bookmarkEnd w:id="6"/>
      <w:r>
        <w:t>6. Walidacja numeryczna</w:t>
      </w:r>
    </w:p>
    <w:p w14:paraId="13459065" w14:textId="77777777" w:rsidR="001326F0" w:rsidRDefault="00000000">
      <w:pPr>
        <w:pStyle w:val="FirstParagraph"/>
      </w:pPr>
      <w:r>
        <w:t xml:space="preserve">Pliki </w:t>
      </w:r>
      <w:r>
        <w:rPr>
          <w:rStyle w:val="VerbatimChar"/>
        </w:rPr>
        <w:t>ASG_soft_gauss_scan.json</w:t>
      </w:r>
      <w:r>
        <w:t xml:space="preserve"> i </w:t>
      </w:r>
      <w:r>
        <w:rPr>
          <w:rStyle w:val="VerbatimChar"/>
        </w:rPr>
        <w:t>ASG_dual_run_summary.json</w:t>
      </w:r>
      <w:r>
        <w:t xml:space="preserve"> zawierają siatki parametrów ((_0, , )), które spełniają ograniczenia Planck 2018 i prognozy Simons Observatory. Pakiety LaTeX </w:t>
      </w:r>
      <w:r>
        <w:rPr>
          <w:rStyle w:val="VerbatimChar"/>
        </w:rPr>
        <w:t>ASG_arXiv_package_v3</w:t>
      </w:r>
      <w:r>
        <w:t xml:space="preserve"> oraz rękopisy z </w:t>
      </w:r>
      <w:r>
        <w:rPr>
          <w:rStyle w:val="VerbatimChar"/>
        </w:rPr>
        <w:t>v4</w:t>
      </w:r>
      <w:r>
        <w:t xml:space="preserve"> odtwarzają krzywe (n_s(r)) i pokazują zgodność z równaniem Mukhanowa–Sasakiego</w:t>
      </w:r>
    </w:p>
    <w:p w14:paraId="6EC12903" w14:textId="77777777" w:rsidR="001326F0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″+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34F4C62" w14:textId="77777777" w:rsidR="001326F0" w:rsidRDefault="00000000">
      <w:pPr>
        <w:pStyle w:val="FirstParagraph"/>
      </w:pPr>
      <w:r>
        <w:t>co opisuje wpływ zakrzywionej przestrzeni pola na widmo krzywizny. Tor tensorowy opisuje równanie</w:t>
      </w:r>
    </w:p>
    <w:p w14:paraId="1431FB7C" w14:textId="77777777" w:rsidR="001326F0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″+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C897A25" w14:textId="77777777" w:rsidR="001326F0" w:rsidRDefault="00000000">
      <w:pPr>
        <w:pStyle w:val="FirstParagraph"/>
      </w:pPr>
      <w:r>
        <w:t>stąd tłumienie () prowadzi wprost do obniżenia (r).</w:t>
      </w:r>
    </w:p>
    <w:p w14:paraId="211FD3D5" w14:textId="77777777" w:rsidR="001326F0" w:rsidRDefault="00000000">
      <w:pPr>
        <w:pStyle w:val="Nagwek2"/>
      </w:pPr>
      <w:bookmarkStart w:id="8" w:name="dyskusja"/>
      <w:bookmarkEnd w:id="7"/>
      <w:r>
        <w:t>7. Dyskusja</w:t>
      </w:r>
    </w:p>
    <w:p w14:paraId="5D0E458E" w14:textId="77777777" w:rsidR="001326F0" w:rsidRDefault="00000000">
      <w:pPr>
        <w:pStyle w:val="FirstParagraph"/>
      </w:pPr>
      <w:r>
        <w:t>Aktywna Grawitacja Ekranowa proponuje, aby obserwowalne cechy mikrofalowego tła traktować jako sondę biegu grawitacji kwantowej. Jeżeli przyszłe misje (LiteBIRD, CMB-S4) wykryją (r ^{-3}) przy jednoczesnym lekkim przesunięciu (n_s) ku mniejszym wartościom, będzie to silny argument na rzecz mechanizmu ekranu. Odwrotny wynik ((r  ^{-3})) preferowałby standardowe potencjały plateau.</w:t>
      </w:r>
    </w:p>
    <w:p w14:paraId="078F34C0" w14:textId="77777777" w:rsidR="001326F0" w:rsidRDefault="00000000">
      <w:pPr>
        <w:pStyle w:val="Nagwek2"/>
      </w:pPr>
      <w:bookmarkStart w:id="9" w:name="dostępność-danych-i-replikacja"/>
      <w:bookmarkEnd w:id="8"/>
      <w:r>
        <w:t>8. Dostępność danych i replikacja</w:t>
      </w:r>
    </w:p>
    <w:p w14:paraId="1BE76D43" w14:textId="77777777" w:rsidR="001326F0" w:rsidRDefault="00000000">
      <w:pPr>
        <w:pStyle w:val="FirstParagraph"/>
      </w:pPr>
      <w:r>
        <w:t>Zestawy danych użyte w raporcie znajdują się w katalogu projektu:</w:t>
      </w:r>
    </w:p>
    <w:p w14:paraId="18577012" w14:textId="77777777" w:rsidR="001326F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q/brainrot</w:t>
      </w:r>
      <w:r>
        <w:t>: wczesne notatki i pierwsze wersje hipotezy.</w:t>
      </w:r>
    </w:p>
    <w:p w14:paraId="6D731603" w14:textId="77777777" w:rsidR="001326F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q/v1</w:t>
      </w:r>
      <w:r>
        <w:t>–</w:t>
      </w:r>
      <w:r>
        <w:rPr>
          <w:rStyle w:val="VerbatimChar"/>
        </w:rPr>
        <w:t>q/v5</w:t>
      </w:r>
      <w:r>
        <w:t xml:space="preserve">: kolejne iteracje manuskryptów DOCX/PDF (pełne teorie, wersje </w:t>
      </w:r>
      <w:r>
        <w:rPr>
          <w:i/>
          <w:iCs/>
        </w:rPr>
        <w:t>Nature style</w:t>
      </w:r>
      <w:r>
        <w:t>, pakiety arXiv) oraz pliki pomocnicze (</w:t>
      </w:r>
      <w:r>
        <w:rPr>
          <w:rStyle w:val="VerbatimChar"/>
        </w:rPr>
        <w:t>ASG_scan_results_analytic_chistar.csv</w:t>
      </w:r>
      <w:r>
        <w:t xml:space="preserve">, </w:t>
      </w:r>
      <w:r>
        <w:rPr>
          <w:rStyle w:val="VerbatimChar"/>
        </w:rPr>
        <w:t>ASG_soft_gauss_scan.json</w:t>
      </w:r>
      <w:r>
        <w:t>).</w:t>
      </w:r>
    </w:p>
    <w:p w14:paraId="7320691F" w14:textId="77777777" w:rsidR="001326F0" w:rsidRDefault="00000000">
      <w:pPr>
        <w:pStyle w:val="Compact"/>
        <w:numPr>
          <w:ilvl w:val="0"/>
          <w:numId w:val="2"/>
        </w:numPr>
      </w:pPr>
      <w:r>
        <w:t>Materiały graficzne (</w:t>
      </w:r>
      <w:r>
        <w:rPr>
          <w:rStyle w:val="VerbatimChar"/>
        </w:rPr>
        <w:t>nsr_trajectory.png</w:t>
      </w:r>
      <w:r>
        <w:t xml:space="preserve">, </w:t>
      </w:r>
      <w:r>
        <w:rPr>
          <w:rStyle w:val="VerbatimChar"/>
        </w:rPr>
        <w:t>F_U_overlay.png</w:t>
      </w:r>
      <w:r>
        <w:t xml:space="preserve">) oraz notatnik </w:t>
      </w:r>
      <w:r>
        <w:rPr>
          <w:rStyle w:val="VerbatimChar"/>
        </w:rPr>
        <w:t>ASG_notebook_analytic.ipynb</w:t>
      </w:r>
      <w:r>
        <w:t xml:space="preserve"> umożliwiają ponowną generację wykresów.</w:t>
      </w:r>
    </w:p>
    <w:p w14:paraId="3D6DCA2A" w14:textId="77777777" w:rsidR="001326F0" w:rsidRDefault="00000000">
      <w:pPr>
        <w:pStyle w:val="FirstParagraph"/>
      </w:pPr>
      <w:r>
        <w:t xml:space="preserve">Zasoby te można traktować jako sekcję </w:t>
      </w:r>
      <w:r>
        <w:rPr>
          <w:i/>
          <w:iCs/>
        </w:rPr>
        <w:t>Data Availability</w:t>
      </w:r>
      <w:r>
        <w:t xml:space="preserve"> dla potencjalnej publikacji zewnętrznej.</w:t>
      </w:r>
    </w:p>
    <w:p w14:paraId="37F1897F" w14:textId="77777777" w:rsidR="001326F0" w:rsidRDefault="00000000">
      <w:pPr>
        <w:pStyle w:val="Nagwek2"/>
      </w:pPr>
      <w:bookmarkStart w:id="10" w:name="wnioski"/>
      <w:bookmarkEnd w:id="9"/>
      <w:r>
        <w:t>9. Wnioski</w:t>
      </w:r>
    </w:p>
    <w:p w14:paraId="4834979E" w14:textId="77777777" w:rsidR="001326F0" w:rsidRDefault="00000000">
      <w:pPr>
        <w:pStyle w:val="Compact"/>
        <w:numPr>
          <w:ilvl w:val="0"/>
          <w:numId w:val="3"/>
        </w:numPr>
      </w:pPr>
      <w:r>
        <w:t>Bieg masy Plancka (F()) pełni rolę dynamiki źródłowej dla (n_s) i (r).</w:t>
      </w:r>
    </w:p>
    <w:p w14:paraId="24A95102" w14:textId="77777777" w:rsidR="001326F0" w:rsidRDefault="00000000">
      <w:pPr>
        <w:pStyle w:val="Compact"/>
        <w:numPr>
          <w:ilvl w:val="0"/>
          <w:numId w:val="3"/>
        </w:numPr>
      </w:pPr>
      <w:r>
        <w:t>Gaussowski próg RG zapewnia naturalny mechanizm przyciągający bez fine-tuningu (V()).</w:t>
      </w:r>
    </w:p>
    <w:p w14:paraId="0E956D95" w14:textId="77777777" w:rsidR="001326F0" w:rsidRDefault="00000000">
      <w:pPr>
        <w:pStyle w:val="Compact"/>
        <w:numPr>
          <w:ilvl w:val="0"/>
          <w:numId w:val="3"/>
        </w:numPr>
      </w:pPr>
      <w:r>
        <w:t>Wyniki numeryczne potwierdzają stabilność rozwiązania wobec zmian (_0), () i ().</w:t>
      </w:r>
    </w:p>
    <w:p w14:paraId="159994EB" w14:textId="77777777" w:rsidR="001326F0" w:rsidRDefault="00000000">
      <w:pPr>
        <w:pStyle w:val="Compact"/>
        <w:numPr>
          <w:ilvl w:val="0"/>
          <w:numId w:val="3"/>
        </w:numPr>
      </w:pPr>
      <w:r>
        <w:t>Teoria jest falsyfikowalna przez nadchodzące pomiary (r 10^{-4}), co czyni z niej wartościową prognozę dla misji CMB.</w:t>
      </w:r>
    </w:p>
    <w:p w14:paraId="3FF2C028" w14:textId="77777777" w:rsidR="001326F0" w:rsidRDefault="00000000">
      <w:pPr>
        <w:pStyle w:val="FirstParagraph"/>
      </w:pPr>
      <w:r>
        <w:t xml:space="preserve">Pełne materiały pomocnicze, w tym arkusze wyników i pakiety LaTeX, znajdują się w podkatalogach </w:t>
      </w:r>
      <w:r>
        <w:rPr>
          <w:rStyle w:val="VerbatimChar"/>
        </w:rPr>
        <w:t>q/brainrot</w:t>
      </w:r>
      <w:r>
        <w:t xml:space="preserve"> oraz </w:t>
      </w:r>
      <w:r>
        <w:rPr>
          <w:rStyle w:val="VerbatimChar"/>
        </w:rPr>
        <w:t>q/v1</w:t>
      </w:r>
      <w:r>
        <w:t>–</w:t>
      </w:r>
      <w:r>
        <w:rPr>
          <w:rStyle w:val="VerbatimChar"/>
        </w:rPr>
        <w:t>q/v5</w:t>
      </w:r>
      <w:r>
        <w:t>, umożliwiając niezależną replikację zaprezentowanych rezultatów.</w:t>
      </w:r>
      <w:bookmarkEnd w:id="0"/>
      <w:bookmarkEnd w:id="10"/>
    </w:p>
    <w:sectPr w:rsidR="001326F0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DCB7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D201D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49906639">
    <w:abstractNumId w:val="0"/>
  </w:num>
  <w:num w:numId="2" w16cid:durableId="39287524">
    <w:abstractNumId w:val="1"/>
  </w:num>
  <w:num w:numId="3" w16cid:durableId="107283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6F0"/>
    <w:rsid w:val="001326F0"/>
    <w:rsid w:val="006D11C1"/>
    <w:rsid w:val="00D9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0B319"/>
  <w15:docId w15:val="{C0CE7B58-52BC-42CE-BAEA-9FFA40D5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720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ASG raport naukowy</dc:title>
  <dc:creator/>
  <cp:keywords/>
  <cp:lastModifiedBy>Robert Szymański</cp:lastModifiedBy>
  <cp:revision>2</cp:revision>
  <dcterms:created xsi:type="dcterms:W3CDTF">2026-02-17T11:04:00Z</dcterms:created>
  <dcterms:modified xsi:type="dcterms:W3CDTF">2026-02-17T11:09:00Z</dcterms:modified>
</cp:coreProperties>
</file>