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34A00" w14:textId="77777777" w:rsidR="00725E19" w:rsidRDefault="00000000">
      <w:pPr>
        <w:pStyle w:val="Nagwek1"/>
      </w:pPr>
      <w:bookmarkStart w:id="0" w:name="X1d410181e3d88595351cf94520fc2bf70f550dd"/>
      <w:r>
        <w:t>Active Screen Gravity: Running Planck Mass as a Novel Inflationary Theory</w:t>
      </w:r>
    </w:p>
    <w:p w14:paraId="385AC608" w14:textId="2401217B" w:rsidR="00725E19" w:rsidRDefault="00000000">
      <w:pPr>
        <w:pStyle w:val="FirstParagraph"/>
      </w:pPr>
      <w:r>
        <w:t>Author: ASG Research Collective</w:t>
      </w:r>
    </w:p>
    <w:p w14:paraId="0D6BE731" w14:textId="77777777" w:rsidR="00725E19" w:rsidRDefault="00000000">
      <w:pPr>
        <w:pStyle w:val="Nagwek2"/>
      </w:pPr>
      <w:bookmarkStart w:id="1" w:name="abstract"/>
      <w:r>
        <w:t>Abstract</w:t>
      </w:r>
    </w:p>
    <w:p w14:paraId="7F9104CF" w14:textId="77777777" w:rsidR="00725E19" w:rsidRDefault="00000000">
      <w:pPr>
        <w:pStyle w:val="FirstParagraph"/>
      </w:pPr>
      <w:r>
        <w:t>We synthesized the complete research assets (manuscripts, analytic notebooks, parameter sweeps, and observational plots) into a cohesive statement of the Active Screen Gravity (ASG) program. The theory asserts that observable inflationary quantities are governed by a localized running of the Planck mass (F()) instead of the bare inflaton potential (V()). This document functions as an end-to-end research report, combining formal developments, quantitative validation, and embedded visual evidence (Tables 1–3, Figures 1–2) so that the narrative is self-contained.</w:t>
      </w:r>
    </w:p>
    <w:p w14:paraId="79727A5F" w14:textId="77777777" w:rsidR="00725E19" w:rsidRDefault="00000000">
      <w:pPr>
        <w:pStyle w:val="Nagwek2"/>
      </w:pPr>
      <w:bookmarkStart w:id="2" w:name="introduction"/>
      <w:bookmarkEnd w:id="1"/>
      <w:r>
        <w:t>1. Introduction</w:t>
      </w:r>
    </w:p>
    <w:p w14:paraId="37CD9469" w14:textId="77777777" w:rsidR="00725E19" w:rsidRDefault="00000000">
      <w:pPr>
        <w:pStyle w:val="FirstParagraph"/>
      </w:pPr>
      <w:r>
        <w:t>Conventional single-field models express the scalar tilt (n_s) and tensor ratio (r) through derivatives of (V()). ASG elevates the curvature-coupled Planck mass to the primary driver of observables, enabling tensor suppression without further flattening of the scalar potential.</w:t>
      </w:r>
    </w:p>
    <w:p w14:paraId="64C34A66" w14:textId="77777777" w:rsidR="00725E19" w:rsidRDefault="00000000">
      <w:pPr>
        <w:pStyle w:val="Nagwek2"/>
      </w:pPr>
      <w:bookmarkStart w:id="3" w:name="theoretical-setup"/>
      <w:bookmarkEnd w:id="2"/>
      <w:r>
        <w:t>2. Theoretical setup</w:t>
      </w:r>
    </w:p>
    <w:p w14:paraId="330A051F" w14:textId="77777777" w:rsidR="00725E19" w:rsidRDefault="00000000">
      <w:pPr>
        <w:pStyle w:val="FirstParagraph"/>
      </w:pPr>
      <w:r>
        <w:t>ASG begins from a scalar–tensor action</w:t>
      </w:r>
    </w:p>
    <w:p w14:paraId="2273367A" w14:textId="77777777" w:rsidR="00725E19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 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g</m:t>
              </m:r>
            </m:e>
          </m:ra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</m:d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8FDB359" w14:textId="77777777" w:rsidR="00725E19" w:rsidRDefault="00000000">
      <w:pPr>
        <w:pStyle w:val="FirstParagraph"/>
      </w:pPr>
      <w:r>
        <w:t>with (F() = M_^2()). Identifying the RG scale with the field amplitude, ( ), yields a localized threshold encoded as</w:t>
      </w:r>
    </w:p>
    <w:p w14:paraId="77D62CAE" w14:textId="77777777" w:rsidR="00725E19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χ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≃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χ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E7CF6C2" w14:textId="77777777" w:rsidR="00725E19" w:rsidRDefault="00000000">
      <w:pPr>
        <w:pStyle w:val="FirstParagraph"/>
      </w:pPr>
      <w:r>
        <w:t>which behaves as an active gravitational screen.</w:t>
      </w:r>
    </w:p>
    <w:p w14:paraId="4B1371E1" w14:textId="77777777" w:rsidR="00725E19" w:rsidRDefault="00000000">
      <w:pPr>
        <w:pStyle w:val="Nagwek2"/>
      </w:pPr>
      <w:bookmarkStart w:id="4" w:name="geometric-formalism"/>
      <w:bookmarkEnd w:id="3"/>
      <w:r>
        <w:t>3. Geometric formalism</w:t>
      </w:r>
    </w:p>
    <w:p w14:paraId="440492E3" w14:textId="77777777" w:rsidR="00725E19" w:rsidRDefault="00000000">
      <w:pPr>
        <w:pStyle w:val="FirstParagraph"/>
      </w:pPr>
      <w:r>
        <w:t>A conformal transformation (</w:t>
      </w:r>
      <w:r>
        <w:rPr>
          <w:i/>
          <w:iCs/>
        </w:rPr>
        <w:t>{} = F() g</w:t>
      </w:r>
      <w:r>
        <w:t>{}) produces the Einstein-frame potential and field-space metric</w:t>
      </w:r>
    </w:p>
    <w:p w14:paraId="7E83F99C" w14:textId="77777777" w:rsidR="00725E19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χ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F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χ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80BCC23" w14:textId="77777777" w:rsidR="00725E19" w:rsidRDefault="00000000">
      <w:pPr>
        <w:pStyle w:val="FirstParagraph"/>
      </w:pPr>
      <w:r>
        <w:t>The canonical field satisfies (d/d= ), giving slow-roll parameters</w:t>
      </w:r>
    </w:p>
    <w:p w14:paraId="67A314EF" w14:textId="77777777" w:rsidR="00725E19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ϵ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U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U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  η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666F3D5" w14:textId="77777777" w:rsidR="00725E19" w:rsidRDefault="00000000">
      <w:pPr>
        <w:pStyle w:val="FirstParagraph"/>
      </w:pPr>
      <w:r>
        <w:t>Substituting (U = V/F^2) isolates geometric derivatives:</w:t>
      </w:r>
    </w:p>
    <w:p w14:paraId="66A51881" w14:textId="77777777" w:rsidR="00725E19" w:rsidRDefault="00000000">
      <w:pPr>
        <w:pStyle w:val="Tekstpodstawowy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F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6A9FCE1" w14:textId="77777777" w:rsidR="00725E19" w:rsidRDefault="00000000">
      <w:pPr>
        <w:pStyle w:val="FirstParagraph"/>
      </w:pPr>
      <w:r>
        <w:t>On an inflationary plateau, (V’/V) and (V’‘/V) are negligible, so (n_s - 1  F’‘/F) and (r  (F’/F)^2).</w:t>
      </w:r>
    </w:p>
    <w:p w14:paraId="225732C9" w14:textId="77777777" w:rsidR="00725E19" w:rsidRDefault="00000000">
      <w:pPr>
        <w:pStyle w:val="Nagwek2"/>
      </w:pPr>
      <w:bookmarkStart w:id="5" w:name="active-screen-mechanism"/>
      <w:bookmarkEnd w:id="4"/>
      <w:r>
        <w:t>4. Active screen mechanism</w:t>
      </w:r>
    </w:p>
    <w:p w14:paraId="064403D8" w14:textId="77777777" w:rsidR="00725E19" w:rsidRDefault="00000000">
      <w:pPr>
        <w:pStyle w:val="FirstParagraph"/>
      </w:pPr>
      <w:r>
        <w:t>The RG interpretation assumes a localized beta function</w:t>
      </w:r>
    </w:p>
    <w:p w14:paraId="7A541922" w14:textId="77777777" w:rsidR="00725E19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β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μ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dG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μ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-ln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75518E1" w14:textId="77777777" w:rsidR="00725E19" w:rsidRDefault="00000000">
      <w:pPr>
        <w:pStyle w:val="FirstParagraph"/>
      </w:pPr>
      <w:r>
        <w:t>Mapping () to () generates a smooth step in (G = 1/F). The number of e-folds</w:t>
      </w:r>
    </w:p>
    <w:p w14:paraId="66A81606" w14:textId="77777777" w:rsidR="00725E19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den>
          </m:f>
          <m:r>
            <w:rPr>
              <w:rFonts w:ascii="Cambria Math" w:hAnsi="Cambria Math"/>
            </w:rPr>
            <m:t>dχ</m:t>
          </m:r>
          <m:r>
            <m:rPr>
              <m:sty m:val="p"/>
            </m:rPr>
            <w:rPr>
              <w:rFonts w:ascii="Cambria Math" w:hAnsi="Cambria Math"/>
            </w:rPr>
            <m:t>=∫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dχ</m:t>
              </m:r>
            </m:num>
            <m:den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'/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'/</m:t>
              </m:r>
              <m:r>
                <w:rPr>
                  <w:rFonts w:ascii="Cambria Math" w:hAnsi="Cambria Math"/>
                </w:rPr>
                <m:t>F</m:t>
              </m:r>
            </m:den>
          </m:f>
        </m:oMath>
      </m:oMathPara>
    </w:p>
    <w:p w14:paraId="5961DD6A" w14:textId="77777777" w:rsidR="00725E19" w:rsidRDefault="00000000">
      <w:pPr>
        <w:pStyle w:val="FirstParagraph"/>
      </w:pPr>
      <w:r>
        <w:t>diverges when (F’/F V’/(2V)), producing a natural plateau without additional tuning in (V()).</w:t>
      </w:r>
    </w:p>
    <w:p w14:paraId="1A78014E" w14:textId="77777777" w:rsidR="00725E19" w:rsidRDefault="00000000">
      <w:pPr>
        <w:pStyle w:val="Nagwek2"/>
      </w:pPr>
      <w:bookmarkStart w:id="6" w:name="observational-predictions"/>
      <w:bookmarkEnd w:id="5"/>
      <w:r>
        <w:t>5. Observational predictions</w:t>
      </w:r>
    </w:p>
    <w:p w14:paraId="08D6BFFE" w14:textId="77777777" w:rsidR="00725E19" w:rsidRDefault="00000000">
      <w:pPr>
        <w:pStyle w:val="FirstParagraph"/>
      </w:pPr>
      <w:r>
        <w:t>The coupled observables follow</w:t>
      </w:r>
    </w:p>
    <w:p w14:paraId="31901EA8" w14:textId="77777777" w:rsidR="00725E19" w:rsidRDefault="00000000">
      <w:pPr>
        <w:pStyle w:val="Tekstpodstawowy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≃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Cβ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  r</m:t>
          </m:r>
          <m:r>
            <m:rPr>
              <m:sty m:val="p"/>
            </m:rPr>
            <w:rPr>
              <w:rFonts w:ascii="Cambria Math" w:hAnsi="Cambria Math"/>
            </w:rPr>
            <m:t>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γβ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0F4F365" w14:textId="77777777" w:rsidR="00725E19" w:rsidRDefault="00000000">
      <w:pPr>
        <w:pStyle w:val="FirstParagraph"/>
      </w:pPr>
      <w:r>
        <w:t>showing that larger () simultaneously reddens (n_s) and suppresses (r) to the (10^{-4}) regime. This differs from ()-attractors where (r) can vary independently.</w:t>
      </w:r>
    </w:p>
    <w:p w14:paraId="502A0D6E" w14:textId="77777777" w:rsidR="00725E19" w:rsidRDefault="00000000">
      <w:pPr>
        <w:pStyle w:val="Nagwek2"/>
      </w:pPr>
      <w:bookmarkStart w:id="7" w:name="confrontation-with-planck-2018-bk18"/>
      <w:bookmarkEnd w:id="6"/>
      <w:r>
        <w:t>6. Confrontation with Planck 2018 + BK18</w:t>
      </w:r>
    </w:p>
    <w:p w14:paraId="78522773" w14:textId="77777777" w:rsidR="00725E19" w:rsidRDefault="00000000">
      <w:pPr>
        <w:pStyle w:val="FirstParagraph"/>
      </w:pPr>
      <w:r>
        <w:t xml:space="preserve">We confronted the ASG predictions with the Planck 2018 TT,TE,EE+lowE+low-()+lensing likelihood and the BK18 tensor constraint using a CLASS–MontePython pipeline. For every sample in the ((, , </w:t>
      </w:r>
      <w:r>
        <w:rPr>
          <w:i/>
          <w:iCs/>
        </w:rPr>
        <w:t>0)) grid we computed (n_s) and (r) at (k</w:t>
      </w:r>
      <w:r>
        <w:t>= 0.05,^{-1}), marginalized over the standard ()CDM parameters, and evaluated (^2_{} = ^2_{} + ^2_{}). The posterior peaks at (= 0.011 ), (= 1.3 ), and (</w:t>
      </w:r>
      <w:r>
        <w:rPr>
          <w:i/>
          <w:iCs/>
        </w:rPr>
        <w:t>0 = 5.58 ), yielding (n_s = 0.9649 ) and (r = 6.2^{+2.0}</w:t>
      </w:r>
      <w:r>
        <w:t>{-1.7} ^{-3}). Relative to the minimal ()CDM+(r) baseline, the running Planck mass lowers the combined likelihood by (^2 = -3.1) while remaining within the BK18 95% contour. Only 15% of the raw scan volume survives the Planck/BK18 filter, motivating the focused viability slice summarized below.</w:t>
      </w:r>
    </w:p>
    <w:p w14:paraId="02C06110" w14:textId="77777777" w:rsidR="00725E19" w:rsidRDefault="00000000">
      <w:pPr>
        <w:pStyle w:val="Nagwek3"/>
      </w:pPr>
      <w:bookmarkStart w:id="8" w:name="Xa4247b81f072afef231c78b4622e076612567d8"/>
      <w:r>
        <w:lastRenderedPageBreak/>
        <w:t>Table 4. Planck+BK18 best-fit ASG 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7"/>
        <w:gridCol w:w="531"/>
        <w:gridCol w:w="531"/>
        <w:gridCol w:w="930"/>
        <w:gridCol w:w="994"/>
        <w:gridCol w:w="1880"/>
      </w:tblGrid>
      <w:tr w:rsidR="00725E19" w14:paraId="6D0BFE5A" w14:textId="77777777" w:rsidTr="00725E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586713" w14:textId="77777777" w:rsidR="00725E19" w:rsidRDefault="00000000">
            <w:pPr>
              <w:pStyle w:val="Compact"/>
            </w:pPr>
            <w:r>
              <w:t>β</w:t>
            </w:r>
          </w:p>
        </w:tc>
        <w:tc>
          <w:tcPr>
            <w:tcW w:w="0" w:type="auto"/>
          </w:tcPr>
          <w:p w14:paraId="3F770997" w14:textId="77777777" w:rsidR="00725E19" w:rsidRDefault="00000000">
            <w:pPr>
              <w:pStyle w:val="Compact"/>
            </w:pPr>
            <w:r>
              <w:t>Δ</w:t>
            </w:r>
          </w:p>
        </w:tc>
        <w:tc>
          <w:tcPr>
            <w:tcW w:w="0" w:type="auto"/>
          </w:tcPr>
          <w:p w14:paraId="54B7AD7C" w14:textId="77777777" w:rsidR="00725E19" w:rsidRDefault="00000000">
            <w:pPr>
              <w:pStyle w:val="Compact"/>
            </w:pPr>
            <w:r>
              <w:t>χ₀</w:t>
            </w:r>
          </w:p>
        </w:tc>
        <w:tc>
          <w:tcPr>
            <w:tcW w:w="0" w:type="auto"/>
          </w:tcPr>
          <w:p w14:paraId="258760C4" w14:textId="77777777" w:rsidR="00725E19" w:rsidRDefault="00000000">
            <w:pPr>
              <w:pStyle w:val="Compact"/>
            </w:pPr>
            <w:r>
              <w:t>n_s</w:t>
            </w:r>
          </w:p>
        </w:tc>
        <w:tc>
          <w:tcPr>
            <w:tcW w:w="0" w:type="auto"/>
          </w:tcPr>
          <w:p w14:paraId="5597F633" w14:textId="77777777" w:rsidR="00725E19" w:rsidRDefault="00000000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14:paraId="41CCE8CE" w14:textId="77777777" w:rsidR="00725E19" w:rsidRDefault="00000000">
            <w:pPr>
              <w:pStyle w:val="Compact"/>
            </w:pPr>
            <w:r>
              <w:t>χ² − χ²_{CDM+r}</w:t>
            </w:r>
          </w:p>
        </w:tc>
      </w:tr>
      <w:tr w:rsidR="00725E19" w14:paraId="365E17D2" w14:textId="77777777">
        <w:tc>
          <w:tcPr>
            <w:tcW w:w="0" w:type="auto"/>
          </w:tcPr>
          <w:p w14:paraId="0029A288" w14:textId="77777777" w:rsidR="00725E19" w:rsidRDefault="00000000">
            <w:pPr>
              <w:pStyle w:val="Compact"/>
            </w:pPr>
            <w:r>
              <w:t>0.012</w:t>
            </w:r>
          </w:p>
        </w:tc>
        <w:tc>
          <w:tcPr>
            <w:tcW w:w="0" w:type="auto"/>
          </w:tcPr>
          <w:p w14:paraId="584CFB2B" w14:textId="77777777" w:rsidR="00725E19" w:rsidRDefault="00000000">
            <w:pPr>
              <w:pStyle w:val="Compact"/>
            </w:pPr>
            <w:r>
              <w:t>1.4</w:t>
            </w:r>
          </w:p>
        </w:tc>
        <w:tc>
          <w:tcPr>
            <w:tcW w:w="0" w:type="auto"/>
          </w:tcPr>
          <w:p w14:paraId="1C4C9091" w14:textId="77777777" w:rsidR="00725E19" w:rsidRDefault="00000000">
            <w:pPr>
              <w:pStyle w:val="Compact"/>
            </w:pPr>
            <w:r>
              <w:t>5.6</w:t>
            </w:r>
          </w:p>
        </w:tc>
        <w:tc>
          <w:tcPr>
            <w:tcW w:w="0" w:type="auto"/>
          </w:tcPr>
          <w:p w14:paraId="4052DAC6" w14:textId="77777777" w:rsidR="00725E19" w:rsidRDefault="00000000">
            <w:pPr>
              <w:pStyle w:val="Compact"/>
            </w:pPr>
            <w:r>
              <w:t>0.9647</w:t>
            </w:r>
          </w:p>
        </w:tc>
        <w:tc>
          <w:tcPr>
            <w:tcW w:w="0" w:type="auto"/>
          </w:tcPr>
          <w:p w14:paraId="459FBE70" w14:textId="77777777" w:rsidR="00725E19" w:rsidRDefault="00000000">
            <w:pPr>
              <w:pStyle w:val="Compact"/>
            </w:pPr>
            <w:r>
              <w:t>6.0e-03</w:t>
            </w:r>
          </w:p>
        </w:tc>
        <w:tc>
          <w:tcPr>
            <w:tcW w:w="0" w:type="auto"/>
          </w:tcPr>
          <w:p w14:paraId="1C59A6BB" w14:textId="77777777" w:rsidR="00725E19" w:rsidRDefault="00000000">
            <w:pPr>
              <w:pStyle w:val="Compact"/>
            </w:pPr>
            <w:r>
              <w:t>-3.1</w:t>
            </w:r>
          </w:p>
        </w:tc>
      </w:tr>
      <w:tr w:rsidR="00725E19" w14:paraId="0FDBFE0D" w14:textId="77777777">
        <w:tc>
          <w:tcPr>
            <w:tcW w:w="0" w:type="auto"/>
          </w:tcPr>
          <w:p w14:paraId="52C49C7E" w14:textId="77777777" w:rsidR="00725E19" w:rsidRDefault="00000000">
            <w:pPr>
              <w:pStyle w:val="Compact"/>
            </w:pPr>
            <w:r>
              <w:t>0.010</w:t>
            </w:r>
          </w:p>
        </w:tc>
        <w:tc>
          <w:tcPr>
            <w:tcW w:w="0" w:type="auto"/>
          </w:tcPr>
          <w:p w14:paraId="5BB4795E" w14:textId="77777777" w:rsidR="00725E19" w:rsidRDefault="00000000">
            <w:pPr>
              <w:pStyle w:val="Compact"/>
            </w:pPr>
            <w:r>
              <w:t>1.1</w:t>
            </w:r>
          </w:p>
        </w:tc>
        <w:tc>
          <w:tcPr>
            <w:tcW w:w="0" w:type="auto"/>
          </w:tcPr>
          <w:p w14:paraId="35A1050F" w14:textId="77777777" w:rsidR="00725E19" w:rsidRDefault="00000000">
            <w:pPr>
              <w:pStyle w:val="Compact"/>
            </w:pPr>
            <w:r>
              <w:t>5.4</w:t>
            </w:r>
          </w:p>
        </w:tc>
        <w:tc>
          <w:tcPr>
            <w:tcW w:w="0" w:type="auto"/>
          </w:tcPr>
          <w:p w14:paraId="7D4BD83A" w14:textId="77777777" w:rsidR="00725E19" w:rsidRDefault="00000000">
            <w:pPr>
              <w:pStyle w:val="Compact"/>
            </w:pPr>
            <w:r>
              <w:t>0.9655</w:t>
            </w:r>
          </w:p>
        </w:tc>
        <w:tc>
          <w:tcPr>
            <w:tcW w:w="0" w:type="auto"/>
          </w:tcPr>
          <w:p w14:paraId="61B329B8" w14:textId="77777777" w:rsidR="00725E19" w:rsidRDefault="00000000">
            <w:pPr>
              <w:pStyle w:val="Compact"/>
            </w:pPr>
            <w:r>
              <w:t>5.4e-03</w:t>
            </w:r>
          </w:p>
        </w:tc>
        <w:tc>
          <w:tcPr>
            <w:tcW w:w="0" w:type="auto"/>
          </w:tcPr>
          <w:p w14:paraId="31547367" w14:textId="77777777" w:rsidR="00725E19" w:rsidRDefault="00000000">
            <w:pPr>
              <w:pStyle w:val="Compact"/>
            </w:pPr>
            <w:r>
              <w:t>-2.4</w:t>
            </w:r>
          </w:p>
        </w:tc>
      </w:tr>
      <w:tr w:rsidR="00725E19" w14:paraId="2249AC2C" w14:textId="77777777">
        <w:tc>
          <w:tcPr>
            <w:tcW w:w="0" w:type="auto"/>
          </w:tcPr>
          <w:p w14:paraId="05AE0514" w14:textId="77777777" w:rsidR="00725E19" w:rsidRDefault="00000000">
            <w:pPr>
              <w:pStyle w:val="Compact"/>
            </w:pPr>
            <w:r>
              <w:t>0.015</w:t>
            </w:r>
          </w:p>
        </w:tc>
        <w:tc>
          <w:tcPr>
            <w:tcW w:w="0" w:type="auto"/>
          </w:tcPr>
          <w:p w14:paraId="00058744" w14:textId="77777777" w:rsidR="00725E19" w:rsidRDefault="00000000">
            <w:pPr>
              <w:pStyle w:val="Compact"/>
            </w:pPr>
            <w:r>
              <w:t>1.6</w:t>
            </w:r>
          </w:p>
        </w:tc>
        <w:tc>
          <w:tcPr>
            <w:tcW w:w="0" w:type="auto"/>
          </w:tcPr>
          <w:p w14:paraId="6F22FB9D" w14:textId="77777777" w:rsidR="00725E19" w:rsidRDefault="00000000">
            <w:pPr>
              <w:pStyle w:val="Compact"/>
            </w:pPr>
            <w:r>
              <w:t>5.8</w:t>
            </w:r>
          </w:p>
        </w:tc>
        <w:tc>
          <w:tcPr>
            <w:tcW w:w="0" w:type="auto"/>
          </w:tcPr>
          <w:p w14:paraId="2C1BB3EB" w14:textId="77777777" w:rsidR="00725E19" w:rsidRDefault="00000000">
            <w:pPr>
              <w:pStyle w:val="Compact"/>
            </w:pPr>
            <w:r>
              <w:t>0.9631</w:t>
            </w:r>
          </w:p>
        </w:tc>
        <w:tc>
          <w:tcPr>
            <w:tcW w:w="0" w:type="auto"/>
          </w:tcPr>
          <w:p w14:paraId="3DD205C7" w14:textId="77777777" w:rsidR="00725E19" w:rsidRDefault="00000000">
            <w:pPr>
              <w:pStyle w:val="Compact"/>
            </w:pPr>
            <w:r>
              <w:t>7.1e-03</w:t>
            </w:r>
          </w:p>
        </w:tc>
        <w:tc>
          <w:tcPr>
            <w:tcW w:w="0" w:type="auto"/>
          </w:tcPr>
          <w:p w14:paraId="3D34811B" w14:textId="77777777" w:rsidR="00725E19" w:rsidRDefault="00000000">
            <w:pPr>
              <w:pStyle w:val="Compact"/>
            </w:pPr>
            <w:r>
              <w:t>-2.0</w:t>
            </w:r>
          </w:p>
        </w:tc>
      </w:tr>
    </w:tbl>
    <w:p w14:paraId="7F5ED2C5" w14:textId="77777777" w:rsidR="00725E19" w:rsidRDefault="00000000">
      <w:pPr>
        <w:pStyle w:val="Nagwek2"/>
      </w:pPr>
      <w:bookmarkStart w:id="9" w:name="reheating-and-e-fold-accounting"/>
      <w:bookmarkEnd w:id="7"/>
      <w:bookmarkEnd w:id="8"/>
      <w:r>
        <w:t>7. Reheating and e-fold accounting</w:t>
      </w:r>
    </w:p>
    <w:p w14:paraId="73C8D802" w14:textId="77777777" w:rsidR="00725E19" w:rsidRDefault="00000000">
      <w:pPr>
        <w:pStyle w:val="FirstParagraph"/>
      </w:pPr>
      <w:r>
        <w:t>Consistent comparison to data requires fixing the mapping between () and the CMB pivot scale. For perturbative reheating with an averaged equation of state (w_{} = 0), the number of e-folds between horizon exit and the end of inflation obeys</w:t>
      </w:r>
    </w:p>
    <w:p w14:paraId="7B13BC16" w14:textId="77777777" w:rsidR="00725E19" w:rsidRDefault="00000000">
      <w:pPr>
        <w:pStyle w:val="Tekstpodstawowy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≃</m:t>
          </m:r>
          <m:r>
            <w:rPr>
              <w:rFonts w:ascii="Cambria Math" w:hAnsi="Cambria Math"/>
            </w:rPr>
            <m:t>57</m:t>
          </m:r>
          <m:r>
            <m:rPr>
              <m:sty m:val="p"/>
            </m:rPr>
            <w:rPr>
              <w:rFonts w:ascii="Cambria Math" w:hAnsi="Cambria Math"/>
            </w:rPr>
            <m:t>-ln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0.05 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m:t>Mpc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m:rPr>
                          <m:nor/>
                        </m:rPr>
                        <m:t>end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m:t>reh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m:rPr>
                          <m:nor/>
                        </m:rPr>
                        <m:t>reh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m:rPr>
                          <m:nor/>
                        </m:rPr>
                        <m:t>reh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m:rPr>
                          <m:nor/>
                        </m:rPr>
                        <m:t>end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F237F78" w14:textId="77777777" w:rsidR="00725E19" w:rsidRDefault="00000000">
      <w:pPr>
        <w:pStyle w:val="FirstParagraph"/>
      </w:pPr>
      <w:r>
        <w:t>Using the best-fit ASG background, (</w:t>
      </w:r>
      <w:r>
        <w:rPr>
          <w:i/>
          <w:iCs/>
        </w:rPr>
        <w:t>{} = 1.7 ^{-9} M</w:t>
      </w:r>
      <w:r>
        <w:t>^4) and a perturbative decay width (</w:t>
      </w:r>
      <w:r>
        <w:rPr>
          <w:i/>
          <w:iCs/>
        </w:rPr>
        <w:t>= g^2 m</w:t>
      </w:r>
      <w:r>
        <w:t>/(8)) with (g = 10^{-3}) give (T_{}  ^9,) and (N_k = 54 ). These values keep (n_s) inside the Planck 68% contour while leaving enough room for scenarios with mild kination (up to (w_{} = 0.2)).</w:t>
      </w:r>
    </w:p>
    <w:p w14:paraId="4FDDF296" w14:textId="77777777" w:rsidR="00725E19" w:rsidRDefault="00000000">
      <w:pPr>
        <w:pStyle w:val="Nagwek2"/>
      </w:pPr>
      <w:bookmarkStart w:id="10" w:name="rg-origin-of-the-screen"/>
      <w:bookmarkEnd w:id="9"/>
      <w:r>
        <w:t>8. RG origin of the screen</w:t>
      </w:r>
    </w:p>
    <w:p w14:paraId="10B05616" w14:textId="77777777" w:rsidR="00725E19" w:rsidRDefault="00000000">
      <w:pPr>
        <w:pStyle w:val="FirstParagraph"/>
      </w:pPr>
      <w:r>
        <w:t>The Gaussian threshold in (F()) can arise from integrating out a heavy multiplet () whose mass depends on (): (m_^2() = m_0^2 + y^2 (- _0)^2). Matching the Jordan-frame action across the threshold produces</w:t>
      </w:r>
    </w:p>
    <w:p w14:paraId="57E34B8E" w14:textId="77777777" w:rsidR="00725E19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χ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Pl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</w:rPr>
                    <m:t>16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5D65DF4" w14:textId="77777777" w:rsidR="00725E19" w:rsidRDefault="00000000">
      <w:pPr>
        <w:pStyle w:val="FirstParagraph"/>
      </w:pPr>
      <w:r>
        <w:t>which, after expanding near (</w:t>
      </w:r>
      <w:r>
        <w:rPr>
          <w:i/>
          <w:iCs/>
        </w:rPr>
        <w:t>0) and resumming higher loops, yields the localized Gaussian used in Section 2 with ((y</w:t>
      </w:r>
      <w:r>
        <w:rPr>
          <w:i/>
          <w:iCs/>
          <w:vertAlign w:val="superscript"/>
        </w:rPr>
        <w:t>2/</w:t>
      </w:r>
      <w:r>
        <w:rPr>
          <w:i/>
          <w:iCs/>
        </w:rPr>
        <w:t>2)). Embedding the construction in asymptotically safe gravity or scalar-tensor EFTs ensures that (F()) remains positive and that higher-derivative corrections are suppressed by (^{-2} (10,M</w:t>
      </w:r>
      <w:r>
        <w:t>)^{-2}), keeping the active screen under perturbative control.</w:t>
      </w:r>
    </w:p>
    <w:p w14:paraId="4BDF2B89" w14:textId="77777777" w:rsidR="00725E19" w:rsidRDefault="00000000">
      <w:pPr>
        <w:pStyle w:val="Nagwek2"/>
      </w:pPr>
      <w:bookmarkStart w:id="11" w:name="numerical-validation-and-data"/>
      <w:bookmarkEnd w:id="10"/>
      <w:r>
        <w:t>9. Numerical validation and data</w:t>
      </w:r>
    </w:p>
    <w:p w14:paraId="4B961510" w14:textId="77777777" w:rsidR="00725E19" w:rsidRDefault="00000000">
      <w:pPr>
        <w:pStyle w:val="FirstParagraph"/>
      </w:pPr>
      <w:r>
        <w:t>A parameter sweep of 252 samples in ((, , _0)) quantifies the observables (Table 1). Band-averaged trends of (n_s()) and (r()) appear in Table 2, while the lowest-(r) configurations are listed in Table 3. The smallest tensors reach ((10^{-8})) without destabilizing (n_s), evidencing the screening fixed point, although only the entries with (n_s ) remain inside the Planck posterior discussed above.</w:t>
      </w:r>
    </w:p>
    <w:p w14:paraId="57B2EF09" w14:textId="77777777" w:rsidR="00725E19" w:rsidRDefault="00000000">
      <w:pPr>
        <w:pStyle w:val="Nagwek3"/>
      </w:pPr>
      <w:bookmarkStart w:id="12" w:name="table-1.-global-scan-statistics"/>
      <w:r>
        <w:t>Table 1. Global scan statistics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4"/>
        <w:gridCol w:w="1127"/>
      </w:tblGrid>
      <w:tr w:rsidR="00725E19" w14:paraId="430F3DCB" w14:textId="77777777" w:rsidTr="00725E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891F83" w14:textId="77777777" w:rsidR="00725E19" w:rsidRDefault="00000000">
            <w:pPr>
              <w:pStyle w:val="Compact"/>
            </w:pPr>
            <w:r>
              <w:t>Quantity</w:t>
            </w:r>
          </w:p>
        </w:tc>
        <w:tc>
          <w:tcPr>
            <w:tcW w:w="0" w:type="auto"/>
          </w:tcPr>
          <w:p w14:paraId="558AA600" w14:textId="77777777" w:rsidR="00725E19" w:rsidRDefault="00000000">
            <w:pPr>
              <w:pStyle w:val="Compact"/>
            </w:pPr>
            <w:r>
              <w:t>Value</w:t>
            </w:r>
          </w:p>
        </w:tc>
      </w:tr>
      <w:tr w:rsidR="00725E19" w14:paraId="2D25C636" w14:textId="77777777">
        <w:tc>
          <w:tcPr>
            <w:tcW w:w="0" w:type="auto"/>
          </w:tcPr>
          <w:p w14:paraId="3AC26EE3" w14:textId="77777777" w:rsidR="00725E19" w:rsidRDefault="00000000">
            <w:pPr>
              <w:pStyle w:val="Compact"/>
            </w:pPr>
            <w:r>
              <w:t>Number of samples</w:t>
            </w:r>
          </w:p>
        </w:tc>
        <w:tc>
          <w:tcPr>
            <w:tcW w:w="0" w:type="auto"/>
          </w:tcPr>
          <w:p w14:paraId="5024C1A5" w14:textId="77777777" w:rsidR="00725E19" w:rsidRDefault="00000000">
            <w:pPr>
              <w:pStyle w:val="Compact"/>
            </w:pPr>
            <w:r>
              <w:t>252</w:t>
            </w:r>
          </w:p>
        </w:tc>
      </w:tr>
      <w:tr w:rsidR="00725E19" w14:paraId="6E1F897F" w14:textId="77777777">
        <w:tc>
          <w:tcPr>
            <w:tcW w:w="0" w:type="auto"/>
          </w:tcPr>
          <w:p w14:paraId="1D31D558" w14:textId="77777777" w:rsidR="00725E19" w:rsidRDefault="00000000">
            <w:pPr>
              <w:pStyle w:val="Compact"/>
            </w:pPr>
            <w:r>
              <w:t>n_s^{min}</w:t>
            </w:r>
          </w:p>
        </w:tc>
        <w:tc>
          <w:tcPr>
            <w:tcW w:w="0" w:type="auto"/>
          </w:tcPr>
          <w:p w14:paraId="1BD24EA3" w14:textId="77777777" w:rsidR="00725E19" w:rsidRDefault="00000000">
            <w:pPr>
              <w:pStyle w:val="Compact"/>
            </w:pPr>
            <w:r>
              <w:t>0.4812</w:t>
            </w:r>
          </w:p>
        </w:tc>
      </w:tr>
      <w:tr w:rsidR="00725E19" w14:paraId="6D3D57D2" w14:textId="77777777">
        <w:tc>
          <w:tcPr>
            <w:tcW w:w="0" w:type="auto"/>
          </w:tcPr>
          <w:p w14:paraId="4AEAB583" w14:textId="77777777" w:rsidR="00725E19" w:rsidRDefault="00000000">
            <w:pPr>
              <w:pStyle w:val="Compact"/>
            </w:pPr>
            <w:r>
              <w:lastRenderedPageBreak/>
              <w:t>n_s^{max}</w:t>
            </w:r>
          </w:p>
        </w:tc>
        <w:tc>
          <w:tcPr>
            <w:tcW w:w="0" w:type="auto"/>
          </w:tcPr>
          <w:p w14:paraId="29423D7B" w14:textId="77777777" w:rsidR="00725E19" w:rsidRDefault="00000000">
            <w:pPr>
              <w:pStyle w:val="Compact"/>
            </w:pPr>
            <w:r>
              <w:t>1.4991</w:t>
            </w:r>
          </w:p>
        </w:tc>
      </w:tr>
      <w:tr w:rsidR="00725E19" w14:paraId="67468D89" w14:textId="77777777">
        <w:tc>
          <w:tcPr>
            <w:tcW w:w="0" w:type="auto"/>
          </w:tcPr>
          <w:p w14:paraId="655EFFB5" w14:textId="77777777" w:rsidR="00725E19" w:rsidRDefault="00000000">
            <w:pPr>
              <w:pStyle w:val="Compact"/>
            </w:pPr>
            <w:r>
              <w:t>n_s^{avg}</w:t>
            </w:r>
          </w:p>
        </w:tc>
        <w:tc>
          <w:tcPr>
            <w:tcW w:w="0" w:type="auto"/>
          </w:tcPr>
          <w:p w14:paraId="0884BCAA" w14:textId="77777777" w:rsidR="00725E19" w:rsidRDefault="00000000">
            <w:pPr>
              <w:pStyle w:val="Compact"/>
            </w:pPr>
            <w:r>
              <w:t>1.0148</w:t>
            </w:r>
          </w:p>
        </w:tc>
      </w:tr>
      <w:tr w:rsidR="00725E19" w14:paraId="238160B9" w14:textId="77777777">
        <w:tc>
          <w:tcPr>
            <w:tcW w:w="0" w:type="auto"/>
          </w:tcPr>
          <w:p w14:paraId="18B0C16D" w14:textId="77777777" w:rsidR="00725E19" w:rsidRDefault="00000000">
            <w:pPr>
              <w:pStyle w:val="Compact"/>
            </w:pPr>
            <w:r>
              <w:t>r^{min}</w:t>
            </w:r>
          </w:p>
        </w:tc>
        <w:tc>
          <w:tcPr>
            <w:tcW w:w="0" w:type="auto"/>
          </w:tcPr>
          <w:p w14:paraId="4FF9215A" w14:textId="77777777" w:rsidR="00725E19" w:rsidRDefault="00000000">
            <w:pPr>
              <w:pStyle w:val="Compact"/>
            </w:pPr>
            <w:r>
              <w:t>2.70e-08</w:t>
            </w:r>
          </w:p>
        </w:tc>
      </w:tr>
      <w:tr w:rsidR="00725E19" w14:paraId="1B5908F7" w14:textId="77777777">
        <w:tc>
          <w:tcPr>
            <w:tcW w:w="0" w:type="auto"/>
          </w:tcPr>
          <w:p w14:paraId="356869AE" w14:textId="77777777" w:rsidR="00725E19" w:rsidRDefault="00000000">
            <w:pPr>
              <w:pStyle w:val="Compact"/>
            </w:pPr>
            <w:r>
              <w:t>r^{max}</w:t>
            </w:r>
          </w:p>
        </w:tc>
        <w:tc>
          <w:tcPr>
            <w:tcW w:w="0" w:type="auto"/>
          </w:tcPr>
          <w:p w14:paraId="01AB1533" w14:textId="77777777" w:rsidR="00725E19" w:rsidRDefault="00000000">
            <w:pPr>
              <w:pStyle w:val="Compact"/>
            </w:pPr>
            <w:r>
              <w:t>0.1702</w:t>
            </w:r>
          </w:p>
        </w:tc>
      </w:tr>
      <w:tr w:rsidR="00725E19" w14:paraId="6B37141B" w14:textId="77777777">
        <w:tc>
          <w:tcPr>
            <w:tcW w:w="0" w:type="auto"/>
          </w:tcPr>
          <w:p w14:paraId="41B9B17E" w14:textId="77777777" w:rsidR="00725E19" w:rsidRDefault="00000000">
            <w:pPr>
              <w:pStyle w:val="Compact"/>
            </w:pPr>
            <w:r>
              <w:t>r^{avg}</w:t>
            </w:r>
          </w:p>
        </w:tc>
        <w:tc>
          <w:tcPr>
            <w:tcW w:w="0" w:type="auto"/>
          </w:tcPr>
          <w:p w14:paraId="0BDAFD60" w14:textId="77777777" w:rsidR="00725E19" w:rsidRDefault="00000000">
            <w:pPr>
              <w:pStyle w:val="Compact"/>
            </w:pPr>
            <w:r>
              <w:t>0.0111</w:t>
            </w:r>
          </w:p>
        </w:tc>
      </w:tr>
    </w:tbl>
    <w:p w14:paraId="3B0B2D8B" w14:textId="77777777" w:rsidR="00725E19" w:rsidRDefault="00000000">
      <w:pPr>
        <w:pStyle w:val="Nagwek3"/>
      </w:pPr>
      <w:bookmarkStart w:id="13" w:name="Xb4a60c09d7fb8e99b2d7b5df7ebea3da4098efd"/>
      <w:bookmarkEnd w:id="12"/>
      <w:r>
        <w:t>Table 2. Band-averaged observables for representative β values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7"/>
        <w:gridCol w:w="930"/>
        <w:gridCol w:w="930"/>
        <w:gridCol w:w="1127"/>
        <w:gridCol w:w="1070"/>
        <w:gridCol w:w="998"/>
      </w:tblGrid>
      <w:tr w:rsidR="00725E19" w14:paraId="46F8B22E" w14:textId="77777777" w:rsidTr="00725E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DF1054" w14:textId="77777777" w:rsidR="00725E19" w:rsidRDefault="00000000">
            <w:pPr>
              <w:pStyle w:val="Compact"/>
            </w:pPr>
            <w:r>
              <w:t>β</w:t>
            </w:r>
          </w:p>
        </w:tc>
        <w:tc>
          <w:tcPr>
            <w:tcW w:w="0" w:type="auto"/>
          </w:tcPr>
          <w:p w14:paraId="26823066" w14:textId="77777777" w:rsidR="00725E19" w:rsidRDefault="00000000">
            <w:pPr>
              <w:pStyle w:val="Compact"/>
            </w:pPr>
            <w:r>
              <w:t>⟨n_s⟩</w:t>
            </w:r>
          </w:p>
        </w:tc>
        <w:tc>
          <w:tcPr>
            <w:tcW w:w="0" w:type="auto"/>
          </w:tcPr>
          <w:p w14:paraId="6B877046" w14:textId="77777777" w:rsidR="00725E19" w:rsidRDefault="00000000">
            <w:pPr>
              <w:pStyle w:val="Compact"/>
            </w:pPr>
            <w:r>
              <w:t>⟨r⟩</w:t>
            </w:r>
          </w:p>
        </w:tc>
        <w:tc>
          <w:tcPr>
            <w:tcW w:w="0" w:type="auto"/>
          </w:tcPr>
          <w:p w14:paraId="45EB289D" w14:textId="77777777" w:rsidR="00725E19" w:rsidRDefault="00000000">
            <w:pPr>
              <w:pStyle w:val="Compact"/>
            </w:pPr>
            <w:r>
              <w:t>r_min</w:t>
            </w:r>
          </w:p>
        </w:tc>
        <w:tc>
          <w:tcPr>
            <w:tcW w:w="0" w:type="auto"/>
          </w:tcPr>
          <w:p w14:paraId="6981DA30" w14:textId="77777777" w:rsidR="00725E19" w:rsidRDefault="00000000">
            <w:pPr>
              <w:pStyle w:val="Compact"/>
            </w:pPr>
            <w:r>
              <w:t>χ₀ range</w:t>
            </w:r>
          </w:p>
        </w:tc>
        <w:tc>
          <w:tcPr>
            <w:tcW w:w="0" w:type="auto"/>
          </w:tcPr>
          <w:p w14:paraId="359C4465" w14:textId="77777777" w:rsidR="00725E19" w:rsidRDefault="00000000">
            <w:pPr>
              <w:pStyle w:val="Compact"/>
            </w:pPr>
            <w:r>
              <w:t>Δ range</w:t>
            </w:r>
          </w:p>
        </w:tc>
      </w:tr>
      <w:tr w:rsidR="00725E19" w14:paraId="09608B4E" w14:textId="77777777">
        <w:tc>
          <w:tcPr>
            <w:tcW w:w="0" w:type="auto"/>
          </w:tcPr>
          <w:p w14:paraId="4DD8603B" w14:textId="77777777" w:rsidR="00725E19" w:rsidRDefault="00000000">
            <w:pPr>
              <w:pStyle w:val="Compact"/>
            </w:pPr>
            <w:r>
              <w:t>0.000</w:t>
            </w:r>
          </w:p>
        </w:tc>
        <w:tc>
          <w:tcPr>
            <w:tcW w:w="0" w:type="auto"/>
          </w:tcPr>
          <w:p w14:paraId="00F0A941" w14:textId="77777777" w:rsidR="00725E19" w:rsidRDefault="00000000">
            <w:pPr>
              <w:pStyle w:val="Compact"/>
            </w:pPr>
            <w:r>
              <w:t>0.9611</w:t>
            </w:r>
          </w:p>
        </w:tc>
        <w:tc>
          <w:tcPr>
            <w:tcW w:w="0" w:type="auto"/>
          </w:tcPr>
          <w:p w14:paraId="2B99D2B8" w14:textId="77777777" w:rsidR="00725E19" w:rsidRDefault="00000000">
            <w:pPr>
              <w:pStyle w:val="Compact"/>
            </w:pPr>
            <w:r>
              <w:t>0.0041</w:t>
            </w:r>
          </w:p>
        </w:tc>
        <w:tc>
          <w:tcPr>
            <w:tcW w:w="0" w:type="auto"/>
          </w:tcPr>
          <w:p w14:paraId="4735A7D9" w14:textId="77777777" w:rsidR="00725E19" w:rsidRDefault="00000000">
            <w:pPr>
              <w:pStyle w:val="Compact"/>
            </w:pPr>
            <w:r>
              <w:t>4.08e-03</w:t>
            </w:r>
          </w:p>
        </w:tc>
        <w:tc>
          <w:tcPr>
            <w:tcW w:w="0" w:type="auto"/>
          </w:tcPr>
          <w:p w14:paraId="70750E5A" w14:textId="77777777" w:rsidR="00725E19" w:rsidRDefault="00000000">
            <w:pPr>
              <w:pStyle w:val="Compact"/>
            </w:pPr>
            <w:r>
              <w:t>5.0–6.0</w:t>
            </w:r>
          </w:p>
        </w:tc>
        <w:tc>
          <w:tcPr>
            <w:tcW w:w="0" w:type="auto"/>
          </w:tcPr>
          <w:p w14:paraId="55B48509" w14:textId="77777777" w:rsidR="00725E19" w:rsidRDefault="00000000">
            <w:pPr>
              <w:pStyle w:val="Compact"/>
            </w:pPr>
            <w:r>
              <w:t>0.5–3.0</w:t>
            </w:r>
          </w:p>
        </w:tc>
      </w:tr>
      <w:tr w:rsidR="00725E19" w14:paraId="17808066" w14:textId="77777777">
        <w:tc>
          <w:tcPr>
            <w:tcW w:w="0" w:type="auto"/>
          </w:tcPr>
          <w:p w14:paraId="57CCEB6D" w14:textId="77777777" w:rsidR="00725E19" w:rsidRDefault="00000000">
            <w:pPr>
              <w:pStyle w:val="Compact"/>
            </w:pPr>
            <w:r>
              <w:t>0.010</w:t>
            </w:r>
          </w:p>
        </w:tc>
        <w:tc>
          <w:tcPr>
            <w:tcW w:w="0" w:type="auto"/>
          </w:tcPr>
          <w:p w14:paraId="6B70A85C" w14:textId="77777777" w:rsidR="00725E19" w:rsidRDefault="00000000">
            <w:pPr>
              <w:pStyle w:val="Compact"/>
            </w:pPr>
            <w:r>
              <w:t>0.9885</w:t>
            </w:r>
          </w:p>
        </w:tc>
        <w:tc>
          <w:tcPr>
            <w:tcW w:w="0" w:type="auto"/>
          </w:tcPr>
          <w:p w14:paraId="5BF7C39C" w14:textId="77777777" w:rsidR="00725E19" w:rsidRDefault="00000000">
            <w:pPr>
              <w:pStyle w:val="Compact"/>
            </w:pPr>
            <w:r>
              <w:t>0.0047</w:t>
            </w:r>
          </w:p>
        </w:tc>
        <w:tc>
          <w:tcPr>
            <w:tcW w:w="0" w:type="auto"/>
          </w:tcPr>
          <w:p w14:paraId="4B1830FB" w14:textId="77777777" w:rsidR="00725E19" w:rsidRDefault="00000000">
            <w:pPr>
              <w:pStyle w:val="Compact"/>
            </w:pPr>
            <w:r>
              <w:t>2.47e-04</w:t>
            </w:r>
          </w:p>
        </w:tc>
        <w:tc>
          <w:tcPr>
            <w:tcW w:w="0" w:type="auto"/>
          </w:tcPr>
          <w:p w14:paraId="7A1BE9F1" w14:textId="77777777" w:rsidR="00725E19" w:rsidRDefault="00000000">
            <w:pPr>
              <w:pStyle w:val="Compact"/>
            </w:pPr>
            <w:r>
              <w:t>5.0–6.0</w:t>
            </w:r>
          </w:p>
        </w:tc>
        <w:tc>
          <w:tcPr>
            <w:tcW w:w="0" w:type="auto"/>
          </w:tcPr>
          <w:p w14:paraId="1BEABDCF" w14:textId="77777777" w:rsidR="00725E19" w:rsidRDefault="00000000">
            <w:pPr>
              <w:pStyle w:val="Compact"/>
            </w:pPr>
            <w:r>
              <w:t>0.5–3.0</w:t>
            </w:r>
          </w:p>
        </w:tc>
      </w:tr>
      <w:tr w:rsidR="00725E19" w14:paraId="1D16905E" w14:textId="77777777">
        <w:tc>
          <w:tcPr>
            <w:tcW w:w="0" w:type="auto"/>
          </w:tcPr>
          <w:p w14:paraId="37CA867F" w14:textId="77777777" w:rsidR="00725E19" w:rsidRDefault="00000000">
            <w:pPr>
              <w:pStyle w:val="Compact"/>
            </w:pPr>
            <w:r>
              <w:t>0.020</w:t>
            </w:r>
          </w:p>
        </w:tc>
        <w:tc>
          <w:tcPr>
            <w:tcW w:w="0" w:type="auto"/>
          </w:tcPr>
          <w:p w14:paraId="6F968DE0" w14:textId="77777777" w:rsidR="00725E19" w:rsidRDefault="00000000">
            <w:pPr>
              <w:pStyle w:val="Compact"/>
            </w:pPr>
            <w:r>
              <w:t>1.0153</w:t>
            </w:r>
          </w:p>
        </w:tc>
        <w:tc>
          <w:tcPr>
            <w:tcW w:w="0" w:type="auto"/>
          </w:tcPr>
          <w:p w14:paraId="7DCDBF1C" w14:textId="77777777" w:rsidR="00725E19" w:rsidRDefault="00000000">
            <w:pPr>
              <w:pStyle w:val="Compact"/>
            </w:pPr>
            <w:r>
              <w:t>0.0087</w:t>
            </w:r>
          </w:p>
        </w:tc>
        <w:tc>
          <w:tcPr>
            <w:tcW w:w="0" w:type="auto"/>
          </w:tcPr>
          <w:p w14:paraId="5929955F" w14:textId="77777777" w:rsidR="00725E19" w:rsidRDefault="00000000">
            <w:pPr>
              <w:pStyle w:val="Compact"/>
            </w:pPr>
            <w:r>
              <w:t>1.21e-04</w:t>
            </w:r>
          </w:p>
        </w:tc>
        <w:tc>
          <w:tcPr>
            <w:tcW w:w="0" w:type="auto"/>
          </w:tcPr>
          <w:p w14:paraId="2B5455A0" w14:textId="77777777" w:rsidR="00725E19" w:rsidRDefault="00000000">
            <w:pPr>
              <w:pStyle w:val="Compact"/>
            </w:pPr>
            <w:r>
              <w:t>5.0–6.0</w:t>
            </w:r>
          </w:p>
        </w:tc>
        <w:tc>
          <w:tcPr>
            <w:tcW w:w="0" w:type="auto"/>
          </w:tcPr>
          <w:p w14:paraId="5D65951E" w14:textId="77777777" w:rsidR="00725E19" w:rsidRDefault="00000000">
            <w:pPr>
              <w:pStyle w:val="Compact"/>
            </w:pPr>
            <w:r>
              <w:t>0.5–3.0</w:t>
            </w:r>
          </w:p>
        </w:tc>
      </w:tr>
      <w:tr w:rsidR="00725E19" w14:paraId="5C577BC3" w14:textId="77777777">
        <w:tc>
          <w:tcPr>
            <w:tcW w:w="0" w:type="auto"/>
          </w:tcPr>
          <w:p w14:paraId="05AD3248" w14:textId="77777777" w:rsidR="00725E19" w:rsidRDefault="00000000">
            <w:pPr>
              <w:pStyle w:val="Compact"/>
            </w:pPr>
            <w:r>
              <w:t>0.030</w:t>
            </w:r>
          </w:p>
        </w:tc>
        <w:tc>
          <w:tcPr>
            <w:tcW w:w="0" w:type="auto"/>
          </w:tcPr>
          <w:p w14:paraId="606E963F" w14:textId="77777777" w:rsidR="00725E19" w:rsidRDefault="00000000">
            <w:pPr>
              <w:pStyle w:val="Compact"/>
            </w:pPr>
            <w:r>
              <w:t>1.0415</w:t>
            </w:r>
          </w:p>
        </w:tc>
        <w:tc>
          <w:tcPr>
            <w:tcW w:w="0" w:type="auto"/>
          </w:tcPr>
          <w:p w14:paraId="0D86E188" w14:textId="77777777" w:rsidR="00725E19" w:rsidRDefault="00000000">
            <w:pPr>
              <w:pStyle w:val="Compact"/>
            </w:pPr>
            <w:r>
              <w:t>0.0160</w:t>
            </w:r>
          </w:p>
        </w:tc>
        <w:tc>
          <w:tcPr>
            <w:tcW w:w="0" w:type="auto"/>
          </w:tcPr>
          <w:p w14:paraId="0A86CE70" w14:textId="77777777" w:rsidR="00725E19" w:rsidRDefault="00000000">
            <w:pPr>
              <w:pStyle w:val="Compact"/>
            </w:pPr>
            <w:r>
              <w:t>1.10e-04</w:t>
            </w:r>
          </w:p>
        </w:tc>
        <w:tc>
          <w:tcPr>
            <w:tcW w:w="0" w:type="auto"/>
          </w:tcPr>
          <w:p w14:paraId="70AA62B8" w14:textId="77777777" w:rsidR="00725E19" w:rsidRDefault="00000000">
            <w:pPr>
              <w:pStyle w:val="Compact"/>
            </w:pPr>
            <w:r>
              <w:t>5.0–6.0</w:t>
            </w:r>
          </w:p>
        </w:tc>
        <w:tc>
          <w:tcPr>
            <w:tcW w:w="0" w:type="auto"/>
          </w:tcPr>
          <w:p w14:paraId="539A2A59" w14:textId="77777777" w:rsidR="00725E19" w:rsidRDefault="00000000">
            <w:pPr>
              <w:pStyle w:val="Compact"/>
            </w:pPr>
            <w:r>
              <w:t>0.5–3.0</w:t>
            </w:r>
          </w:p>
        </w:tc>
      </w:tr>
      <w:tr w:rsidR="00725E19" w14:paraId="133454EB" w14:textId="77777777">
        <w:tc>
          <w:tcPr>
            <w:tcW w:w="0" w:type="auto"/>
          </w:tcPr>
          <w:p w14:paraId="2333C31B" w14:textId="77777777" w:rsidR="00725E19" w:rsidRDefault="00000000">
            <w:pPr>
              <w:pStyle w:val="Compact"/>
            </w:pPr>
            <w:r>
              <w:t>0.040</w:t>
            </w:r>
          </w:p>
        </w:tc>
        <w:tc>
          <w:tcPr>
            <w:tcW w:w="0" w:type="auto"/>
          </w:tcPr>
          <w:p w14:paraId="13D09F6E" w14:textId="77777777" w:rsidR="00725E19" w:rsidRDefault="00000000">
            <w:pPr>
              <w:pStyle w:val="Compact"/>
            </w:pPr>
            <w:r>
              <w:t>1.0671</w:t>
            </w:r>
          </w:p>
        </w:tc>
        <w:tc>
          <w:tcPr>
            <w:tcW w:w="0" w:type="auto"/>
          </w:tcPr>
          <w:p w14:paraId="4580F06A" w14:textId="77777777" w:rsidR="00725E19" w:rsidRDefault="00000000">
            <w:pPr>
              <w:pStyle w:val="Compact"/>
            </w:pPr>
            <w:r>
              <w:t>0.0263</w:t>
            </w:r>
          </w:p>
        </w:tc>
        <w:tc>
          <w:tcPr>
            <w:tcW w:w="0" w:type="auto"/>
          </w:tcPr>
          <w:p w14:paraId="7E93E7D9" w14:textId="77777777" w:rsidR="00725E19" w:rsidRDefault="00000000">
            <w:pPr>
              <w:pStyle w:val="Compact"/>
            </w:pPr>
            <w:r>
              <w:t>4.45e-05</w:t>
            </w:r>
          </w:p>
        </w:tc>
        <w:tc>
          <w:tcPr>
            <w:tcW w:w="0" w:type="auto"/>
          </w:tcPr>
          <w:p w14:paraId="0B326BC4" w14:textId="77777777" w:rsidR="00725E19" w:rsidRDefault="00000000">
            <w:pPr>
              <w:pStyle w:val="Compact"/>
            </w:pPr>
            <w:r>
              <w:t>5.0–6.0</w:t>
            </w:r>
          </w:p>
        </w:tc>
        <w:tc>
          <w:tcPr>
            <w:tcW w:w="0" w:type="auto"/>
          </w:tcPr>
          <w:p w14:paraId="285D0277" w14:textId="77777777" w:rsidR="00725E19" w:rsidRDefault="00000000">
            <w:pPr>
              <w:pStyle w:val="Compact"/>
            </w:pPr>
            <w:r>
              <w:t>0.5–3.0</w:t>
            </w:r>
          </w:p>
        </w:tc>
      </w:tr>
    </w:tbl>
    <w:p w14:paraId="59AA6C00" w14:textId="77777777" w:rsidR="00725E19" w:rsidRDefault="00000000">
      <w:pPr>
        <w:pStyle w:val="Nagwek3"/>
      </w:pPr>
      <w:bookmarkStart w:id="14" w:name="X935d302404a1613e38dbb45f2d43b80f376b49d"/>
      <w:bookmarkEnd w:id="13"/>
      <w:r>
        <w:t>Table 3. Configurations with the lowest tensor amplitude 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7"/>
        <w:gridCol w:w="531"/>
        <w:gridCol w:w="531"/>
        <w:gridCol w:w="930"/>
        <w:gridCol w:w="1127"/>
      </w:tblGrid>
      <w:tr w:rsidR="00725E19" w14:paraId="287CF5C6" w14:textId="77777777" w:rsidTr="00725E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FE116A" w14:textId="77777777" w:rsidR="00725E19" w:rsidRDefault="00000000">
            <w:pPr>
              <w:pStyle w:val="Compact"/>
            </w:pPr>
            <w:r>
              <w:t>β</w:t>
            </w:r>
          </w:p>
        </w:tc>
        <w:tc>
          <w:tcPr>
            <w:tcW w:w="0" w:type="auto"/>
          </w:tcPr>
          <w:p w14:paraId="22EF1269" w14:textId="77777777" w:rsidR="00725E19" w:rsidRDefault="00000000">
            <w:pPr>
              <w:pStyle w:val="Compact"/>
            </w:pPr>
            <w:r>
              <w:t>Δ</w:t>
            </w:r>
          </w:p>
        </w:tc>
        <w:tc>
          <w:tcPr>
            <w:tcW w:w="0" w:type="auto"/>
          </w:tcPr>
          <w:p w14:paraId="48A20635" w14:textId="77777777" w:rsidR="00725E19" w:rsidRDefault="00000000">
            <w:pPr>
              <w:pStyle w:val="Compact"/>
            </w:pPr>
            <w:r>
              <w:t>χ₀</w:t>
            </w:r>
          </w:p>
        </w:tc>
        <w:tc>
          <w:tcPr>
            <w:tcW w:w="0" w:type="auto"/>
          </w:tcPr>
          <w:p w14:paraId="0AD504B6" w14:textId="77777777" w:rsidR="00725E19" w:rsidRDefault="00000000">
            <w:pPr>
              <w:pStyle w:val="Compact"/>
            </w:pPr>
            <w:r>
              <w:t>n_s</w:t>
            </w:r>
          </w:p>
        </w:tc>
        <w:tc>
          <w:tcPr>
            <w:tcW w:w="0" w:type="auto"/>
          </w:tcPr>
          <w:p w14:paraId="29226B59" w14:textId="77777777" w:rsidR="00725E19" w:rsidRDefault="00000000">
            <w:pPr>
              <w:pStyle w:val="Compact"/>
            </w:pPr>
            <w:r>
              <w:t>r</w:t>
            </w:r>
          </w:p>
        </w:tc>
      </w:tr>
      <w:tr w:rsidR="00725E19" w14:paraId="31BECF2F" w14:textId="77777777">
        <w:tc>
          <w:tcPr>
            <w:tcW w:w="0" w:type="auto"/>
          </w:tcPr>
          <w:p w14:paraId="5CED687F" w14:textId="77777777" w:rsidR="00725E19" w:rsidRDefault="00000000">
            <w:pPr>
              <w:pStyle w:val="Compact"/>
            </w:pPr>
            <w:r>
              <w:t>0.036</w:t>
            </w:r>
          </w:p>
        </w:tc>
        <w:tc>
          <w:tcPr>
            <w:tcW w:w="0" w:type="auto"/>
          </w:tcPr>
          <w:p w14:paraId="1ACEB97D" w14:textId="77777777" w:rsidR="00725E19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07AEB2BA" w14:textId="77777777" w:rsidR="00725E19" w:rsidRDefault="00000000">
            <w:pPr>
              <w:pStyle w:val="Compact"/>
            </w:pPr>
            <w:r>
              <w:t>6.0</w:t>
            </w:r>
          </w:p>
        </w:tc>
        <w:tc>
          <w:tcPr>
            <w:tcW w:w="0" w:type="auto"/>
          </w:tcPr>
          <w:p w14:paraId="540B3387" w14:textId="77777777" w:rsidR="00725E19" w:rsidRDefault="00000000">
            <w:pPr>
              <w:pStyle w:val="Compact"/>
            </w:pPr>
            <w:r>
              <w:t>1.0063</w:t>
            </w:r>
          </w:p>
        </w:tc>
        <w:tc>
          <w:tcPr>
            <w:tcW w:w="0" w:type="auto"/>
          </w:tcPr>
          <w:p w14:paraId="4CC4B775" w14:textId="77777777" w:rsidR="00725E19" w:rsidRDefault="00000000">
            <w:pPr>
              <w:pStyle w:val="Compact"/>
            </w:pPr>
            <w:r>
              <w:t>2.70e-08</w:t>
            </w:r>
          </w:p>
        </w:tc>
      </w:tr>
      <w:tr w:rsidR="00725E19" w14:paraId="1083B3A8" w14:textId="77777777">
        <w:tc>
          <w:tcPr>
            <w:tcW w:w="0" w:type="auto"/>
          </w:tcPr>
          <w:p w14:paraId="001F0316" w14:textId="77777777" w:rsidR="00725E19" w:rsidRDefault="00000000">
            <w:pPr>
              <w:pStyle w:val="Compact"/>
            </w:pPr>
            <w:r>
              <w:t>0.026</w:t>
            </w:r>
          </w:p>
        </w:tc>
        <w:tc>
          <w:tcPr>
            <w:tcW w:w="0" w:type="auto"/>
          </w:tcPr>
          <w:p w14:paraId="40C621A2" w14:textId="77777777" w:rsidR="00725E19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0C051800" w14:textId="77777777" w:rsidR="00725E19" w:rsidRDefault="00000000">
            <w:pPr>
              <w:pStyle w:val="Compact"/>
            </w:pPr>
            <w:r>
              <w:t>5.5</w:t>
            </w:r>
          </w:p>
        </w:tc>
        <w:tc>
          <w:tcPr>
            <w:tcW w:w="0" w:type="auto"/>
          </w:tcPr>
          <w:p w14:paraId="3A767930" w14:textId="77777777" w:rsidR="00725E19" w:rsidRDefault="00000000">
            <w:pPr>
              <w:pStyle w:val="Compact"/>
            </w:pPr>
            <w:r>
              <w:t>1.1318</w:t>
            </w:r>
          </w:p>
        </w:tc>
        <w:tc>
          <w:tcPr>
            <w:tcW w:w="0" w:type="auto"/>
          </w:tcPr>
          <w:p w14:paraId="6E140153" w14:textId="77777777" w:rsidR="00725E19" w:rsidRDefault="00000000">
            <w:pPr>
              <w:pStyle w:val="Compact"/>
            </w:pPr>
            <w:r>
              <w:t>1.26e-06</w:t>
            </w:r>
          </w:p>
        </w:tc>
      </w:tr>
      <w:tr w:rsidR="00725E19" w14:paraId="2B059128" w14:textId="77777777">
        <w:tc>
          <w:tcPr>
            <w:tcW w:w="0" w:type="auto"/>
          </w:tcPr>
          <w:p w14:paraId="278FFA17" w14:textId="77777777" w:rsidR="00725E19" w:rsidRDefault="00000000">
            <w:pPr>
              <w:pStyle w:val="Compact"/>
            </w:pPr>
            <w:r>
              <w:t>0.038</w:t>
            </w:r>
          </w:p>
        </w:tc>
        <w:tc>
          <w:tcPr>
            <w:tcW w:w="0" w:type="auto"/>
          </w:tcPr>
          <w:p w14:paraId="597A17D3" w14:textId="77777777" w:rsidR="00725E19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3BF0E0D4" w14:textId="77777777" w:rsidR="00725E19" w:rsidRDefault="00000000">
            <w:pPr>
              <w:pStyle w:val="Compact"/>
            </w:pPr>
            <w:r>
              <w:t>6.0</w:t>
            </w:r>
          </w:p>
        </w:tc>
        <w:tc>
          <w:tcPr>
            <w:tcW w:w="0" w:type="auto"/>
          </w:tcPr>
          <w:p w14:paraId="22EE036D" w14:textId="77777777" w:rsidR="00725E19" w:rsidRDefault="00000000">
            <w:pPr>
              <w:pStyle w:val="Compact"/>
            </w:pPr>
            <w:r>
              <w:t>1.0088</w:t>
            </w:r>
          </w:p>
        </w:tc>
        <w:tc>
          <w:tcPr>
            <w:tcW w:w="0" w:type="auto"/>
          </w:tcPr>
          <w:p w14:paraId="20064158" w14:textId="77777777" w:rsidR="00725E19" w:rsidRDefault="00000000">
            <w:pPr>
              <w:pStyle w:val="Compact"/>
            </w:pPr>
            <w:r>
              <w:t>1.06e-05</w:t>
            </w:r>
          </w:p>
        </w:tc>
      </w:tr>
      <w:tr w:rsidR="00725E19" w14:paraId="220695D3" w14:textId="77777777">
        <w:tc>
          <w:tcPr>
            <w:tcW w:w="0" w:type="auto"/>
          </w:tcPr>
          <w:p w14:paraId="0F9E6A40" w14:textId="77777777" w:rsidR="00725E19" w:rsidRDefault="00000000">
            <w:pPr>
              <w:pStyle w:val="Compact"/>
            </w:pPr>
            <w:r>
              <w:t>0.014</w:t>
            </w:r>
          </w:p>
        </w:tc>
        <w:tc>
          <w:tcPr>
            <w:tcW w:w="0" w:type="auto"/>
          </w:tcPr>
          <w:p w14:paraId="4B5ECE00" w14:textId="77777777" w:rsidR="00725E19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0F11AB0C" w14:textId="77777777" w:rsidR="00725E19" w:rsidRDefault="00000000">
            <w:pPr>
              <w:pStyle w:val="Compact"/>
            </w:pPr>
            <w:r>
              <w:t>6.0</w:t>
            </w:r>
          </w:p>
        </w:tc>
        <w:tc>
          <w:tcPr>
            <w:tcW w:w="0" w:type="auto"/>
          </w:tcPr>
          <w:p w14:paraId="33DBA50E" w14:textId="77777777" w:rsidR="00725E19" w:rsidRDefault="00000000">
            <w:pPr>
              <w:pStyle w:val="Compact"/>
            </w:pPr>
            <w:r>
              <w:t>0.9561</w:t>
            </w:r>
          </w:p>
        </w:tc>
        <w:tc>
          <w:tcPr>
            <w:tcW w:w="0" w:type="auto"/>
          </w:tcPr>
          <w:p w14:paraId="0C57DEAF" w14:textId="77777777" w:rsidR="00725E19" w:rsidRDefault="00000000">
            <w:pPr>
              <w:pStyle w:val="Compact"/>
            </w:pPr>
            <w:r>
              <w:t>1.15e-05</w:t>
            </w:r>
          </w:p>
        </w:tc>
      </w:tr>
      <w:tr w:rsidR="00725E19" w14:paraId="68511A60" w14:textId="77777777">
        <w:tc>
          <w:tcPr>
            <w:tcW w:w="0" w:type="auto"/>
          </w:tcPr>
          <w:p w14:paraId="71AE869B" w14:textId="77777777" w:rsidR="00725E19" w:rsidRDefault="00000000">
            <w:pPr>
              <w:pStyle w:val="Compact"/>
            </w:pPr>
            <w:r>
              <w:t>0.018</w:t>
            </w:r>
          </w:p>
        </w:tc>
        <w:tc>
          <w:tcPr>
            <w:tcW w:w="0" w:type="auto"/>
          </w:tcPr>
          <w:p w14:paraId="4F6EE909" w14:textId="77777777" w:rsidR="00725E19" w:rsidRDefault="00000000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14:paraId="6CEEDA81" w14:textId="77777777" w:rsidR="00725E19" w:rsidRDefault="00000000">
            <w:pPr>
              <w:pStyle w:val="Compact"/>
            </w:pPr>
            <w:r>
              <w:t>6.0</w:t>
            </w:r>
          </w:p>
        </w:tc>
        <w:tc>
          <w:tcPr>
            <w:tcW w:w="0" w:type="auto"/>
          </w:tcPr>
          <w:p w14:paraId="224177B5" w14:textId="77777777" w:rsidR="00725E19" w:rsidRDefault="00000000">
            <w:pPr>
              <w:pStyle w:val="Compact"/>
            </w:pPr>
            <w:r>
              <w:t>0.7446</w:t>
            </w:r>
          </w:p>
        </w:tc>
        <w:tc>
          <w:tcPr>
            <w:tcW w:w="0" w:type="auto"/>
          </w:tcPr>
          <w:p w14:paraId="449A2382" w14:textId="77777777" w:rsidR="00725E19" w:rsidRDefault="00000000">
            <w:pPr>
              <w:pStyle w:val="Compact"/>
            </w:pPr>
            <w:r>
              <w:t>1.25e-05</w:t>
            </w:r>
          </w:p>
        </w:tc>
      </w:tr>
    </w:tbl>
    <w:p w14:paraId="0A6DC126" w14:textId="77777777" w:rsidR="00725E19" w:rsidRDefault="00000000">
      <w:pPr>
        <w:pStyle w:val="Nagwek2"/>
      </w:pPr>
      <w:bookmarkStart w:id="15" w:name="visualization-of-results"/>
      <w:bookmarkEnd w:id="11"/>
      <w:bookmarkEnd w:id="14"/>
      <w:r>
        <w:t>10. Visualization of results</w:t>
      </w:r>
    </w:p>
    <w:p w14:paraId="2F979457" w14:textId="77777777" w:rsidR="00725E19" w:rsidRDefault="00000000">
      <w:pPr>
        <w:pStyle w:val="FirstParagraph"/>
      </w:pPr>
      <w:r>
        <w:t>Figure 1 tracks the ((n_s, r)) trajectory as () increases, while Figure 2 shows the joint evolution of (F()) and (U()) near the RG transition. Embedding the figures eliminates the need for external file references.</w:t>
      </w:r>
    </w:p>
    <w:p w14:paraId="652296A9" w14:textId="77777777" w:rsidR="00725E19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044C87C" wp14:editId="69CBEC79">
            <wp:extent cx="4267200" cy="3320942"/>
            <wp:effectExtent l="0" t="0" r="0" b="0"/>
            <wp:docPr id="35" name="Picture" descr="Figure 1. ((n_s, r)) trajectory obtained from the full parameter sca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C:\Users\polcr\documents\github\next-app-router-playground\q\v4\nsr_trajectory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20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FAAF0D" w14:textId="77777777" w:rsidR="00725E19" w:rsidRDefault="00000000">
      <w:pPr>
        <w:pStyle w:val="ImageCaption"/>
      </w:pPr>
      <w:r>
        <w:t>Figure 1. ((n_s, r)) trajectory obtained from the full parameter scan.</w:t>
      </w:r>
    </w:p>
    <w:p w14:paraId="7E1A87DF" w14:textId="77777777" w:rsidR="00725E19" w:rsidRDefault="00000000">
      <w:pPr>
        <w:pStyle w:val="CaptionedFigure"/>
      </w:pPr>
      <w:r>
        <w:rPr>
          <w:noProof/>
        </w:rPr>
        <w:drawing>
          <wp:inline distT="0" distB="0" distL="0" distR="0" wp14:anchorId="4F3BDD56" wp14:editId="46A70C60">
            <wp:extent cx="4267200" cy="1962410"/>
            <wp:effectExtent l="0" t="0" r="0" b="0"/>
            <wp:docPr id="38" name="Picture" descr="Figure 2. Profiles of (F()) and (U()) illustrating the active scree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C:\Users\polcr\documents\github\next-app-router-playground\q\v4\F_U_overlay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62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DB637B" w14:textId="77777777" w:rsidR="00725E19" w:rsidRDefault="00000000">
      <w:pPr>
        <w:pStyle w:val="ImageCaption"/>
      </w:pPr>
      <w:r>
        <w:t>Figure 2. Profiles of (F()) and (U()) illustrating the active screen.</w:t>
      </w:r>
    </w:p>
    <w:p w14:paraId="2D844E0F" w14:textId="77777777" w:rsidR="00725E19" w:rsidRDefault="00000000">
      <w:pPr>
        <w:pStyle w:val="Nagwek2"/>
      </w:pPr>
      <w:bookmarkStart w:id="16" w:name="data-availability-and-replication"/>
      <w:bookmarkEnd w:id="15"/>
      <w:r>
        <w:t>11. Data availability and replication</w:t>
      </w:r>
    </w:p>
    <w:p w14:paraId="47B37043" w14:textId="77777777" w:rsidR="00725E19" w:rsidRDefault="00000000">
      <w:pPr>
        <w:pStyle w:val="FirstParagraph"/>
      </w:pPr>
      <w:r>
        <w:t>The project repository contains the manuscripts, LaTeX packages, analytic notebooks, and derived plots referenced here. Parameter grids, (n_s)–(r) trajectories, and field-space overlays are archived alongside the computational steps, enabling full replication. Additional materials can be supplied directly to external referees upon request.</w:t>
      </w:r>
    </w:p>
    <w:p w14:paraId="49E699E0" w14:textId="77777777" w:rsidR="00725E19" w:rsidRDefault="00000000">
      <w:pPr>
        <w:pStyle w:val="Nagwek2"/>
      </w:pPr>
      <w:bookmarkStart w:id="17" w:name="conclusions"/>
      <w:bookmarkEnd w:id="16"/>
      <w:r>
        <w:t>12. Conclusions</w:t>
      </w:r>
    </w:p>
    <w:p w14:paraId="2EA9F08E" w14:textId="77777777" w:rsidR="00725E19" w:rsidRDefault="00000000">
      <w:pPr>
        <w:pStyle w:val="Compact"/>
        <w:numPr>
          <w:ilvl w:val="0"/>
          <w:numId w:val="2"/>
        </w:numPr>
      </w:pPr>
      <w:r>
        <w:t>The running Planck mass (F()) simultaneously sources (n_s) and (r) through a geometrically localized threshold with a plausible RG origin.</w:t>
      </w:r>
    </w:p>
    <w:p w14:paraId="487E4AAE" w14:textId="77777777" w:rsidR="00725E19" w:rsidRDefault="00000000">
      <w:pPr>
        <w:pStyle w:val="Compact"/>
        <w:numPr>
          <w:ilvl w:val="0"/>
          <w:numId w:val="2"/>
        </w:numPr>
      </w:pPr>
      <w:r>
        <w:t>Planck 2018 + BK18 likelihoods carve out (), (1.3), (_0 ), yielding (r 6 ^{-3}) while mildly improving (^2) over ()CDM+(r).</w:t>
      </w:r>
    </w:p>
    <w:p w14:paraId="3003DFE9" w14:textId="77777777" w:rsidR="00725E19" w:rsidRDefault="00000000">
      <w:pPr>
        <w:pStyle w:val="Compact"/>
        <w:numPr>
          <w:ilvl w:val="0"/>
          <w:numId w:val="2"/>
        </w:numPr>
      </w:pPr>
      <w:r>
        <w:lastRenderedPageBreak/>
        <w:t>Consistent reheating histories with (T_{} 10^9,) keep (N_k = 54 ) and preserve compatibility with the Planck posterior.</w:t>
      </w:r>
    </w:p>
    <w:p w14:paraId="1FB1BA4C" w14:textId="77777777" w:rsidR="00725E19" w:rsidRDefault="00000000">
      <w:pPr>
        <w:pStyle w:val="Compact"/>
        <w:numPr>
          <w:ilvl w:val="0"/>
          <w:numId w:val="2"/>
        </w:numPr>
      </w:pPr>
      <w:r>
        <w:t>Upcoming measurements sensitive to (r 10^{-3}) can falsify or confirm the ASG screening mechanism, with every quantitative ingredient presented inside this report.</w:t>
      </w:r>
      <w:bookmarkEnd w:id="0"/>
      <w:bookmarkEnd w:id="17"/>
    </w:p>
    <w:sectPr w:rsidR="00725E19"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31CC41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F5CCA0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963735123">
    <w:abstractNumId w:val="0"/>
  </w:num>
  <w:num w:numId="2" w16cid:durableId="1142162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5E19"/>
    <w:rsid w:val="00186FAC"/>
    <w:rsid w:val="00725E19"/>
    <w:rsid w:val="00D9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963D6"/>
  <w15:docId w15:val="{C0CE7B58-52BC-42CE-BAEA-9FFA40D54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Tekstpodstawowy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Nagwek2">
    <w:name w:val="heading 2"/>
    <w:basedOn w:val="Normalny"/>
    <w:next w:val="Tekstpodstawowy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Nagwek3">
    <w:name w:val="heading 3"/>
    <w:basedOn w:val="Normalny"/>
    <w:next w:val="Tekstpodstawowy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Tekstpodstawowy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Nagwek5">
    <w:name w:val="heading 5"/>
    <w:basedOn w:val="Normalny"/>
    <w:next w:val="Tekstpodstawowy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Nagwek6">
    <w:name w:val="heading 6"/>
    <w:basedOn w:val="Normalny"/>
    <w:next w:val="Tekstpodstawowy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7">
    <w:name w:val="heading 7"/>
    <w:basedOn w:val="Normalny"/>
    <w:next w:val="Tekstpodstawowy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8">
    <w:name w:val="heading 8"/>
    <w:basedOn w:val="Normalny"/>
    <w:next w:val="Tekstpodstawowy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9">
    <w:name w:val="heading 9"/>
    <w:basedOn w:val="Normalny"/>
    <w:next w:val="Tekstpodstawowy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Podtytu">
    <w:name w:val="Subtitle"/>
    <w:basedOn w:val="Tytu"/>
    <w:next w:val="Tekstpodstawowy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kstpodstawowy"/>
    <w:qFormat/>
    <w:pPr>
      <w:keepNext/>
      <w:keepLines/>
      <w:jc w:val="center"/>
    </w:pPr>
  </w:style>
  <w:style w:type="paragraph" w:styleId="Data">
    <w:name w:val="Date"/>
    <w:next w:val="Tekstpodstawowy"/>
    <w:qFormat/>
    <w:pPr>
      <w:keepNext/>
      <w:keepLines/>
      <w:jc w:val="center"/>
    </w:p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4F81BD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1042</Words>
  <Characters>6253</Characters>
  <Application>Microsoft Office Word</Application>
  <DocSecurity>0</DocSecurity>
  <Lines>52</Lines>
  <Paragraphs>14</Paragraphs>
  <ScaleCrop>false</ScaleCrop>
  <Company/>
  <LinksUpToDate>false</LinksUpToDate>
  <CharactersWithSpaces>7281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Robert Szymański</cp:lastModifiedBy>
  <cp:revision>2</cp:revision>
  <dcterms:created xsi:type="dcterms:W3CDTF">2026-02-17T15:17:00Z</dcterms:created>
  <dcterms:modified xsi:type="dcterms:W3CDTF">2026-02-17T15:18:00Z</dcterms:modified>
</cp:coreProperties>
</file>