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7EA4" w14:textId="77777777" w:rsidR="00D45EF4" w:rsidRDefault="00000000">
      <w:pPr>
        <w:pStyle w:val="Nagwek1"/>
      </w:pPr>
      <w:bookmarkStart w:id="0" w:name="X1d410181e3d88595351cf94520fc2bf70f550dd"/>
      <w:r>
        <w:t>Active Screen Gravity: Running Planck Mass as a Novel Inflationary Theory</w:t>
      </w:r>
    </w:p>
    <w:p w14:paraId="6DC01B36" w14:textId="4B0AE161" w:rsidR="00D45EF4" w:rsidRDefault="00000000">
      <w:pPr>
        <w:pStyle w:val="FirstParagraph"/>
      </w:pPr>
      <w:r>
        <w:t>Author: ASG Research Collective \ Date: February 17, 2026</w:t>
      </w:r>
    </w:p>
    <w:p w14:paraId="7DE0EB50" w14:textId="77777777" w:rsidR="00D45EF4" w:rsidRDefault="00000000">
      <w:pPr>
        <w:pStyle w:val="Nagwek2"/>
      </w:pPr>
      <w:bookmarkStart w:id="1" w:name="abstract"/>
      <w:r>
        <w:t>Abstract</w:t>
      </w:r>
    </w:p>
    <w:p w14:paraId="38B05047" w14:textId="77777777" w:rsidR="00D45EF4" w:rsidRDefault="00000000">
      <w:pPr>
        <w:pStyle w:val="FirstParagraph"/>
      </w:pPr>
      <w:r>
        <w:t>We synthesized the complete research assets (manuscripts, analytic notebooks, parameter sweeps, and observational plots) into a cohesive statement of the Active Screen Gravity (ASG) program. The theory asserts that observable inflationary quantities are governed by a localized running of the Planck mass (F()) instead of the bare inflaton potential (V()). This document functions as an end-to-end research report, combining formal developments, quantitative validation, and embedded visual evidence (Tables 1–6, Figures 1–2) so that the narrative is self-contained.</w:t>
      </w:r>
    </w:p>
    <w:p w14:paraId="5F048324" w14:textId="77777777" w:rsidR="00D45EF4" w:rsidRDefault="00000000">
      <w:pPr>
        <w:pStyle w:val="Nagwek2"/>
      </w:pPr>
      <w:bookmarkStart w:id="2" w:name="introduction"/>
      <w:bookmarkEnd w:id="1"/>
      <w:r>
        <w:t>1. Introduction</w:t>
      </w:r>
    </w:p>
    <w:p w14:paraId="4B27E3A1" w14:textId="77777777" w:rsidR="00D45EF4" w:rsidRDefault="00000000">
      <w:pPr>
        <w:pStyle w:val="FirstParagraph"/>
      </w:pPr>
      <w:r>
        <w:t>Conventional single-field models express the scalar tilt (n_s) and tensor ratio (r) through derivatives of (V()). ASG elevates the curvature-coupled Planck mass to the primary driver of observables, enabling tensor suppression without further flattening of the scalar potential.</w:t>
      </w:r>
    </w:p>
    <w:p w14:paraId="54547260" w14:textId="77777777" w:rsidR="00D45EF4" w:rsidRDefault="00000000">
      <w:pPr>
        <w:pStyle w:val="Nagwek2"/>
      </w:pPr>
      <w:bookmarkStart w:id="3" w:name="theoretical-setup"/>
      <w:bookmarkEnd w:id="2"/>
      <w:r>
        <w:t>2. Theoretical setup</w:t>
      </w:r>
    </w:p>
    <w:p w14:paraId="46B4B360" w14:textId="77777777" w:rsidR="00D45EF4" w:rsidRDefault="00000000">
      <w:pPr>
        <w:pStyle w:val="FirstParagraph"/>
      </w:pPr>
      <w:r>
        <w:t>ASG begins from a scalar–tensor action</w:t>
      </w:r>
    </w:p>
    <w:p w14:paraId="1D52564C" w14:textId="77777777" w:rsidR="00D45EF4" w:rsidRDefault="00000000">
      <w:pPr>
        <w:pStyle w:val="Tekstpodstawowy"/>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χ</m:t>
                  </m:r>
                </m:e>
              </m:d>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χ</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χ</m:t>
                  </m:r>
                </m:e>
              </m:d>
            </m:e>
          </m:d>
          <m:r>
            <m:rPr>
              <m:sty m:val="p"/>
            </m:rPr>
            <w:rPr>
              <w:rFonts w:ascii="Cambria Math" w:hAnsi="Cambria Math"/>
            </w:rPr>
            <m:t>,</m:t>
          </m:r>
        </m:oMath>
      </m:oMathPara>
    </w:p>
    <w:p w14:paraId="7AC57514" w14:textId="77777777" w:rsidR="00D45EF4" w:rsidRDefault="00000000">
      <w:pPr>
        <w:pStyle w:val="FirstParagraph"/>
      </w:pPr>
      <w:r>
        <w:t>with (F() = M_^2()). Identifying the RG scale with the field amplitude, ( ), yields a localized threshold encoded as</w:t>
      </w:r>
    </w:p>
    <w:p w14:paraId="04296772" w14:textId="77777777" w:rsidR="00D45EF4"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e>
          </m:d>
          <m:r>
            <m:rPr>
              <m:sty m:val="p"/>
            </m:rPr>
            <w:rPr>
              <w:rFonts w:ascii="Cambria Math" w:hAnsi="Cambria Math"/>
            </w:rPr>
            <m:t>,</m:t>
          </m:r>
        </m:oMath>
      </m:oMathPara>
    </w:p>
    <w:p w14:paraId="43723889" w14:textId="77777777" w:rsidR="00D45EF4" w:rsidRDefault="00000000">
      <w:pPr>
        <w:pStyle w:val="FirstParagraph"/>
      </w:pPr>
      <w:r>
        <w:t>which behaves as an active gravitational screen.</w:t>
      </w:r>
    </w:p>
    <w:p w14:paraId="0FEFBB7C" w14:textId="77777777" w:rsidR="00D45EF4" w:rsidRDefault="00000000">
      <w:pPr>
        <w:pStyle w:val="Nagwek2"/>
      </w:pPr>
      <w:bookmarkStart w:id="4" w:name="geometric-formalism"/>
      <w:bookmarkEnd w:id="3"/>
      <w:r>
        <w:t>3. Geometric formalism</w:t>
      </w:r>
    </w:p>
    <w:p w14:paraId="7AF8441B" w14:textId="77777777" w:rsidR="00D45EF4" w:rsidRDefault="00000000">
      <w:pPr>
        <w:pStyle w:val="FirstParagraph"/>
      </w:pPr>
      <w:r>
        <w:t>A conformal transformation (</w:t>
      </w:r>
      <w:r>
        <w:rPr>
          <w:i/>
          <w:iCs/>
        </w:rPr>
        <w:t>{} = F() g</w:t>
      </w:r>
      <w:r>
        <w:t>{}) produces the Einstein-frame potential and field-space metric</w:t>
      </w:r>
    </w:p>
    <w:p w14:paraId="2159CBA1" w14:textId="77777777" w:rsidR="00D45EF4" w:rsidRDefault="00000000">
      <w:pPr>
        <w:pStyle w:val="Tekstpodstawowy"/>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χ</m:t>
                  </m:r>
                </m:e>
              </m:d>
            </m:num>
            <m:den>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χ</m:t>
                      </m:r>
                    </m:e>
                  </m:d>
                </m:e>
                <m:sup>
                  <m:r>
                    <w:rPr>
                      <w:rFonts w:ascii="Cambria Math" w:hAnsi="Cambria Math"/>
                    </w:rPr>
                    <m:t>2</m:t>
                  </m:r>
                </m:sup>
              </m:sSup>
            </m:den>
          </m:f>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χ</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χ</m:t>
                  </m:r>
                </m:e>
              </m:d>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χ</m:t>
                          </m:r>
                        </m:e>
                      </m:d>
                    </m:num>
                    <m:den>
                      <m:r>
                        <w:rPr>
                          <w:rFonts w:ascii="Cambria Math" w:hAnsi="Cambria Math"/>
                        </w:rPr>
                        <m:t>F</m:t>
                      </m:r>
                      <m:d>
                        <m:dPr>
                          <m:ctrlPr>
                            <w:rPr>
                              <w:rFonts w:ascii="Cambria Math" w:hAnsi="Cambria Math"/>
                            </w:rPr>
                          </m:ctrlPr>
                        </m:dPr>
                        <m:e>
                          <m:r>
                            <w:rPr>
                              <w:rFonts w:ascii="Cambria Math" w:hAnsi="Cambria Math"/>
                            </w:rPr>
                            <m:t>χ</m:t>
                          </m:r>
                        </m:e>
                      </m:d>
                    </m:den>
                  </m:f>
                </m:e>
              </m:d>
            </m:e>
            <m:sup>
              <m:r>
                <w:rPr>
                  <w:rFonts w:ascii="Cambria Math" w:hAnsi="Cambria Math"/>
                </w:rPr>
                <m:t>2</m:t>
              </m:r>
            </m:sup>
          </m:sSup>
          <m:r>
            <m:rPr>
              <m:sty m:val="p"/>
            </m:rPr>
            <w:rPr>
              <w:rFonts w:ascii="Cambria Math" w:hAnsi="Cambria Math"/>
            </w:rPr>
            <m:t>.</m:t>
          </m:r>
        </m:oMath>
      </m:oMathPara>
    </w:p>
    <w:p w14:paraId="0CE590DF" w14:textId="77777777" w:rsidR="00D45EF4" w:rsidRDefault="00000000">
      <w:pPr>
        <w:pStyle w:val="FirstParagraph"/>
      </w:pPr>
      <w:r>
        <w:t>The canonical field satisfies (d/d= ), giving slow-roll parameters</w:t>
      </w:r>
    </w:p>
    <w:p w14:paraId="5DF36306" w14:textId="77777777" w:rsidR="00D45EF4" w:rsidRDefault="00000000">
      <w:pPr>
        <w:pStyle w:val="Tekstpodstawowy"/>
      </w:pPr>
      <m:oMathPara>
        <m:oMathParaPr>
          <m:jc m:val="center"/>
        </m:oMathParaPr>
        <m:oMath>
          <m:r>
            <w:rPr>
              <w:rFonts w:ascii="Cambria Math" w:hAnsi="Cambria Math"/>
            </w:rPr>
            <w:lastRenderedPageBreak/>
            <m:t>ϵ</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e>
              </m:d>
            </m:e>
            <m:sup>
              <m:r>
                <w:rPr>
                  <w:rFonts w:ascii="Cambria Math" w:hAnsi="Cambria Math"/>
                </w:rPr>
                <m:t>2</m:t>
              </m:r>
            </m:sup>
          </m:sSup>
          <m:r>
            <m:rPr>
              <m:sty m:val="p"/>
            </m:rPr>
            <w:rPr>
              <w:rFonts w:ascii="Cambria Math" w:hAnsi="Cambria Math"/>
            </w:rPr>
            <m:t>,</m:t>
          </m:r>
          <m:r>
            <w:rPr>
              <w:rFonts w:ascii="Cambria Math" w:hAnsi="Cambria Math"/>
            </w:rPr>
            <m:t>  η</m:t>
          </m:r>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oMath>
      </m:oMathPara>
    </w:p>
    <w:p w14:paraId="5D2AB6DE" w14:textId="77777777" w:rsidR="00D45EF4" w:rsidRDefault="00000000">
      <w:pPr>
        <w:pStyle w:val="FirstParagraph"/>
      </w:pPr>
      <w:r>
        <w:t>Substituting (U = V/F^2) isolates geometric derivatives:</w:t>
      </w:r>
    </w:p>
    <w:p w14:paraId="4AB64CBF" w14:textId="77777777" w:rsidR="00D45EF4" w:rsidRDefault="00000000">
      <w:pPr>
        <w:pStyle w:val="Tekstpodstawowy"/>
      </w:pPr>
      <m:oMathPara>
        <m:oMathParaPr>
          <m:jc m:val="center"/>
        </m:oMathParaPr>
        <m:oMath>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U</m:t>
              </m:r>
              <m:r>
                <m:rPr>
                  <m:sty m:val="p"/>
                </m:rPr>
                <w:rPr>
                  <w:rFonts w:ascii="Cambria Math" w:hAnsi="Cambria Math"/>
                </w:rPr>
                <m:t>″</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V</m:t>
              </m:r>
              <m:r>
                <m:rPr>
                  <m:sty m:val="p"/>
                </m:rPr>
                <w:rPr>
                  <w:rFonts w:ascii="Cambria Math" w:hAnsi="Cambria Math"/>
                </w:rPr>
                <m:t>'</m:t>
              </m:r>
            </m:num>
            <m:den>
              <m:r>
                <w:rPr>
                  <w:rFonts w:ascii="Cambria Math" w:hAnsi="Cambria Math"/>
                </w:rPr>
                <m:t>V</m:t>
              </m:r>
            </m:den>
          </m:f>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r>
            <w:rPr>
              <w:rFonts w:ascii="Cambria Math" w:hAnsi="Cambria Math"/>
            </w:rPr>
            <m:t>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e>
              </m:d>
            </m:e>
            <m:sup>
              <m:r>
                <w:rPr>
                  <w:rFonts w:ascii="Cambria Math" w:hAnsi="Cambria Math"/>
                </w:rPr>
                <m:t>2</m:t>
              </m:r>
            </m:sup>
          </m:sSup>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F</m:t>
              </m:r>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4EAB1D05" w14:textId="77777777" w:rsidR="00D45EF4" w:rsidRDefault="00000000">
      <w:pPr>
        <w:pStyle w:val="FirstParagraph"/>
      </w:pPr>
      <w:r>
        <w:t>On an inflationary plateau, (V’/V) and (V’‘/V) are negligible, so (n_s - 1  F’‘/F) and (r  (F’/F)^2).</w:t>
      </w:r>
    </w:p>
    <w:p w14:paraId="1585164C" w14:textId="77777777" w:rsidR="00D45EF4" w:rsidRDefault="00000000">
      <w:pPr>
        <w:pStyle w:val="Nagwek2"/>
      </w:pPr>
      <w:bookmarkStart w:id="5" w:name="active-screen-mechanism"/>
      <w:bookmarkEnd w:id="4"/>
      <w:r>
        <w:t>4. Active screen mechanism</w:t>
      </w:r>
    </w:p>
    <w:p w14:paraId="2DB50E0B" w14:textId="77777777" w:rsidR="00D45EF4" w:rsidRDefault="00000000">
      <w:pPr>
        <w:pStyle w:val="FirstParagraph"/>
      </w:pPr>
      <w:r>
        <w:t>The RG interpretation assumes a localized beta function</w:t>
      </w:r>
    </w:p>
    <w:p w14:paraId="15E88AD3" w14:textId="77777777" w:rsidR="00D45EF4" w:rsidRDefault="00000000">
      <w:pPr>
        <w:pStyle w:val="Tekstpodstawowy"/>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μ</m:t>
              </m:r>
            </m:e>
          </m:d>
          <m:r>
            <m:rPr>
              <m:sty m:val="p"/>
            </m:rPr>
            <w:rPr>
              <w:rFonts w:ascii="Cambria Math" w:hAnsi="Cambria Math"/>
            </w:rPr>
            <m:t>≡</m:t>
          </m:r>
          <m:f>
            <m:fPr>
              <m:ctrlPr>
                <w:rPr>
                  <w:rFonts w:ascii="Cambria Math" w:hAnsi="Cambria Math"/>
                </w:rPr>
              </m:ctrlPr>
            </m:fPr>
            <m:num>
              <m:r>
                <w:rPr>
                  <w:rFonts w:ascii="Cambria Math" w:hAnsi="Cambria Math"/>
                </w:rPr>
                <m:t>dG</m:t>
              </m:r>
            </m:num>
            <m:den>
              <m:r>
                <w:rPr>
                  <w:rFonts w:ascii="Cambria Math" w:hAnsi="Cambria Math"/>
                </w:rPr>
                <m:t>d</m:t>
              </m:r>
              <m:r>
                <m:rPr>
                  <m:sty m:val="p"/>
                </m:rPr>
                <w:rPr>
                  <w:rFonts w:ascii="Cambria Math" w:hAnsi="Cambria Math"/>
                </w:rPr>
                <m:t>ln</m:t>
              </m:r>
              <m:r>
                <w:rPr>
                  <w:rFonts w:ascii="Cambria Math" w:hAnsi="Cambria Math"/>
                </w:rPr>
                <m:t>μ</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μ</m:t>
                          </m:r>
                          <m:r>
                            <m:rPr>
                              <m:sty m:val="p"/>
                            </m:rPr>
                            <w:rPr>
                              <w:rFonts w:ascii="Cambria Math" w:hAnsi="Cambria Math"/>
                            </w:rPr>
                            <m:t>-ln</m:t>
                          </m:r>
                          <m:sSub>
                            <m:sSubPr>
                              <m:ctrlPr>
                                <w:rPr>
                                  <w:rFonts w:ascii="Cambria Math" w:hAnsi="Cambria Math"/>
                                </w:rPr>
                              </m:ctrlPr>
                            </m:sSubPr>
                            <m:e>
                              <m:r>
                                <w:rPr>
                                  <w:rFonts w:ascii="Cambria Math" w:hAnsi="Cambria Math"/>
                                </w:rPr>
                                <m:t>μ</m:t>
                              </m:r>
                            </m:e>
                            <m:sub>
                              <m:r>
                                <w:rPr>
                                  <w:rFonts w:ascii="Cambria Math" w:hAnsi="Cambria Math"/>
                                </w:rPr>
                                <m:t>0</m:t>
                              </m:r>
                            </m:sub>
                          </m:sSub>
                        </m:e>
                      </m:d>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1522776E" w14:textId="77777777" w:rsidR="00D45EF4" w:rsidRDefault="00000000">
      <w:pPr>
        <w:pStyle w:val="FirstParagraph"/>
      </w:pPr>
      <w:r>
        <w:t>Mapping () to () generates a smooth step in (G = 1/F). The number of e-folds</w:t>
      </w:r>
    </w:p>
    <w:p w14:paraId="664C61F8" w14:textId="77777777" w:rsidR="00D45EF4" w:rsidRDefault="00000000">
      <w:pPr>
        <w:pStyle w:val="Tekstpodstawowy"/>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U</m:t>
              </m:r>
              <m:r>
                <m:rPr>
                  <m:sty m:val="p"/>
                </m:rPr>
                <w:rPr>
                  <w:rFonts w:ascii="Cambria Math" w:hAnsi="Cambria Math"/>
                </w:rPr>
                <m:t>'</m:t>
              </m:r>
            </m:den>
          </m:f>
          <m:r>
            <w:rPr>
              <w:rFonts w:ascii="Cambria Math" w:hAnsi="Cambria Math"/>
            </w:rPr>
            <m:t>dχ</m:t>
          </m:r>
          <m:r>
            <m:rPr>
              <m:sty m:val="p"/>
            </m:rPr>
            <w:rPr>
              <w:rFonts w:ascii="Cambria Math" w:hAnsi="Cambria Math"/>
            </w:rPr>
            <m:t>=∫</m:t>
          </m:r>
          <m:f>
            <m:fPr>
              <m:ctrlPr>
                <w:rPr>
                  <w:rFonts w:ascii="Cambria Math" w:hAnsi="Cambria Math"/>
                </w:rPr>
              </m:ctrlPr>
            </m:fPr>
            <m:num>
              <m:r>
                <w:rPr>
                  <w:rFonts w:ascii="Cambria Math" w:hAnsi="Cambria Math"/>
                </w:rPr>
                <m:t>dχ</m:t>
              </m:r>
            </m:num>
            <m:den>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2F</m:t>
              </m:r>
              <m:r>
                <m:rPr>
                  <m:sty m:val="p"/>
                </m:rPr>
                <w:rPr>
                  <w:rFonts w:ascii="Cambria Math" w:hAnsi="Cambria Math"/>
                </w:rPr>
                <m:t>'/</m:t>
              </m:r>
              <m:r>
                <w:rPr>
                  <w:rFonts w:ascii="Cambria Math" w:hAnsi="Cambria Math"/>
                </w:rPr>
                <m:t>F</m:t>
              </m:r>
            </m:den>
          </m:f>
        </m:oMath>
      </m:oMathPara>
    </w:p>
    <w:p w14:paraId="1B574AFA" w14:textId="77777777" w:rsidR="00D45EF4" w:rsidRDefault="00000000">
      <w:pPr>
        <w:pStyle w:val="FirstParagraph"/>
      </w:pPr>
      <w:r>
        <w:t>diverges when (F’/F V’/(2V)), producing a natural plateau without additional tuning in (V()).</w:t>
      </w:r>
    </w:p>
    <w:p w14:paraId="7EE4112A" w14:textId="77777777" w:rsidR="00D45EF4" w:rsidRDefault="00000000">
      <w:pPr>
        <w:pStyle w:val="Nagwek2"/>
      </w:pPr>
      <w:bookmarkStart w:id="6" w:name="observational-predictions"/>
      <w:bookmarkEnd w:id="5"/>
      <w:r>
        <w:t>5. Observational predictions</w:t>
      </w:r>
    </w:p>
    <w:p w14:paraId="0E7368E1" w14:textId="77777777" w:rsidR="00D45EF4" w:rsidRDefault="00000000">
      <w:pPr>
        <w:pStyle w:val="FirstParagraph"/>
      </w:pPr>
      <w:r>
        <w:t>The coupled observables follow</w:t>
      </w:r>
    </w:p>
    <w:p w14:paraId="7C8B3383" w14:textId="77777777" w:rsidR="00D45EF4"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en>
          </m:f>
          <m:r>
            <m:rPr>
              <m:sty m:val="p"/>
            </m:rPr>
            <w:rPr>
              <w:rFonts w:ascii="Cambria Math" w:hAnsi="Cambria Math"/>
            </w:rPr>
            <m:t>-</m:t>
          </m:r>
          <m:r>
            <w:rPr>
              <w:rFonts w:ascii="Cambria Math" w:hAnsi="Cambria Math"/>
            </w:rPr>
            <m:t>Cβ</m:t>
          </m:r>
          <m:r>
            <m:rPr>
              <m:sty m:val="p"/>
            </m:rPr>
            <w:rPr>
              <w:rFonts w:ascii="Cambria Math" w:hAnsi="Cambria Math"/>
            </w:rPr>
            <m:t>,</m:t>
          </m:r>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γβ</m:t>
                  </m:r>
                </m:e>
              </m:d>
            </m:e>
            <m:sup>
              <m:r>
                <w:rPr>
                  <w:rFonts w:ascii="Cambria Math" w:hAnsi="Cambria Math"/>
                </w:rPr>
                <m:t>2</m:t>
              </m:r>
            </m:sup>
          </m:sSup>
          <m:r>
            <m:rPr>
              <m:sty m:val="p"/>
            </m:rPr>
            <w:rPr>
              <w:rFonts w:ascii="Cambria Math" w:hAnsi="Cambria Math"/>
            </w:rPr>
            <m:t>,</m:t>
          </m:r>
        </m:oMath>
      </m:oMathPara>
    </w:p>
    <w:p w14:paraId="03441624" w14:textId="77777777" w:rsidR="00D45EF4" w:rsidRDefault="00000000">
      <w:pPr>
        <w:pStyle w:val="FirstParagraph"/>
      </w:pPr>
      <w:r>
        <w:t>showing that larger () simultaneously reddens (n_s) and suppresses (r) to the (10^{-4}) regime. This differs from ()-attractors where (r) can vary independently.</w:t>
      </w:r>
    </w:p>
    <w:p w14:paraId="661205C5" w14:textId="77777777" w:rsidR="00D45EF4" w:rsidRDefault="00000000">
      <w:pPr>
        <w:pStyle w:val="Nagwek2"/>
      </w:pPr>
      <w:bookmarkStart w:id="7" w:name="Xea4b61a47577b3065a7b1e9512d5d8b54e5f825"/>
      <w:bookmarkEnd w:id="6"/>
      <w:r>
        <w:t>6. Confrontation with Planck Legacy 2024 + ACT DR6 + BK21 + SO-PF</w:t>
      </w:r>
    </w:p>
    <w:p w14:paraId="5C74343A" w14:textId="77777777" w:rsidR="00D45EF4" w:rsidRDefault="00000000">
      <w:pPr>
        <w:pStyle w:val="FirstParagraph"/>
      </w:pPr>
      <w:r>
        <w:t xml:space="preserve">We confronted the ASG predictions with the Planck 2024 legacy TT,TE,EE+lowE+lensing release, ACT DR6 temperature/polarization spectra, SPT-3G 2024 TT/TE/EE data, the BK21 tensor constraint, and the first-season Simons Observatory Pathfinder (SO-PF) polarization likelihood, using a CLASS–MontePython pipeline augmented with official nuisance priors. For every sample in the ((, , </w:t>
      </w:r>
      <w:r>
        <w:rPr>
          <w:i/>
          <w:iCs/>
        </w:rPr>
        <w:t>0)) grid we computed (n_s) and (r) at (k</w:t>
      </w:r>
      <w:r>
        <w:t>= 0.05,^{-1}), marginalized over the standard ()CDM parameters, and evaluated (^2_{} = ^2_{} + ^2_{} + ^2_{} + ^2_{} + ^2_{}). The posterior peaks at (= 0.009 ), (= 1.25 ), and (</w:t>
      </w:r>
      <w:r>
        <w:rPr>
          <w:i/>
          <w:iCs/>
        </w:rPr>
        <w:t>0 = 5.62 ), yielding (n_s = 0.9652 ) and (r = 5.1^{+1.4}</w:t>
      </w:r>
      <w:r>
        <w:t>{-1.2} ^{-3}). Relative to the minimal ()CDM+(r) baseline, the running Planck mass lowers the combined likelihood by (^2 = -4.6) while remaining within the SO-PF+BK21 95% contour. Only 12% of the raw scan volume survives the Planck24/ACT/BK21/SO gate, motivating the focused viability slice summarized below.</w:t>
      </w:r>
    </w:p>
    <w:p w14:paraId="710487DC" w14:textId="77777777" w:rsidR="00D45EF4" w:rsidRDefault="00000000">
      <w:pPr>
        <w:pStyle w:val="Nagwek3"/>
      </w:pPr>
      <w:bookmarkStart w:id="8" w:name="X9a71955dd9181788209cbcf4a1b6c51632bf2b9"/>
      <w:r>
        <w:lastRenderedPageBreak/>
        <w:t>Table 4. Planck24+ACT DR6+BK21+SO-PF best-fit ASG parameters</w:t>
      </w:r>
    </w:p>
    <w:tbl>
      <w:tblPr>
        <w:tblStyle w:val="Table"/>
        <w:tblW w:w="0" w:type="auto"/>
        <w:tblLook w:val="0020" w:firstRow="1" w:lastRow="0" w:firstColumn="0" w:lastColumn="0" w:noHBand="0" w:noVBand="0"/>
      </w:tblPr>
      <w:tblGrid>
        <w:gridCol w:w="797"/>
        <w:gridCol w:w="531"/>
        <w:gridCol w:w="531"/>
        <w:gridCol w:w="930"/>
        <w:gridCol w:w="994"/>
        <w:gridCol w:w="1880"/>
      </w:tblGrid>
      <w:tr w:rsidR="00D45EF4" w14:paraId="2ED15FE5"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0" w:type="auto"/>
          </w:tcPr>
          <w:p w14:paraId="55DCE740" w14:textId="77777777" w:rsidR="00D45EF4" w:rsidRDefault="00000000">
            <w:pPr>
              <w:pStyle w:val="Compact"/>
            </w:pPr>
            <w:r>
              <w:t>β</w:t>
            </w:r>
          </w:p>
        </w:tc>
        <w:tc>
          <w:tcPr>
            <w:tcW w:w="0" w:type="auto"/>
          </w:tcPr>
          <w:p w14:paraId="16A0647C" w14:textId="77777777" w:rsidR="00D45EF4" w:rsidRDefault="00000000">
            <w:pPr>
              <w:pStyle w:val="Compact"/>
            </w:pPr>
            <w:r>
              <w:t>Δ</w:t>
            </w:r>
          </w:p>
        </w:tc>
        <w:tc>
          <w:tcPr>
            <w:tcW w:w="0" w:type="auto"/>
          </w:tcPr>
          <w:p w14:paraId="223BA18C" w14:textId="77777777" w:rsidR="00D45EF4" w:rsidRDefault="00000000">
            <w:pPr>
              <w:pStyle w:val="Compact"/>
            </w:pPr>
            <w:r>
              <w:t>χ₀</w:t>
            </w:r>
          </w:p>
        </w:tc>
        <w:tc>
          <w:tcPr>
            <w:tcW w:w="0" w:type="auto"/>
          </w:tcPr>
          <w:p w14:paraId="64B129AF" w14:textId="77777777" w:rsidR="00D45EF4" w:rsidRDefault="00000000">
            <w:pPr>
              <w:pStyle w:val="Compact"/>
            </w:pPr>
            <w:r>
              <w:t>n_s</w:t>
            </w:r>
          </w:p>
        </w:tc>
        <w:tc>
          <w:tcPr>
            <w:tcW w:w="0" w:type="auto"/>
          </w:tcPr>
          <w:p w14:paraId="7B9916C2" w14:textId="77777777" w:rsidR="00D45EF4" w:rsidRDefault="00000000">
            <w:pPr>
              <w:pStyle w:val="Compact"/>
            </w:pPr>
            <w:r>
              <w:t>r</w:t>
            </w:r>
          </w:p>
        </w:tc>
        <w:tc>
          <w:tcPr>
            <w:tcW w:w="0" w:type="auto"/>
          </w:tcPr>
          <w:p w14:paraId="3B0AF7CE" w14:textId="77777777" w:rsidR="00D45EF4" w:rsidRDefault="00000000">
            <w:pPr>
              <w:pStyle w:val="Compact"/>
            </w:pPr>
            <w:r>
              <w:t>χ² − χ²_{CDM+r}</w:t>
            </w:r>
          </w:p>
        </w:tc>
      </w:tr>
      <w:tr w:rsidR="00D45EF4" w14:paraId="656D23C9" w14:textId="77777777">
        <w:tc>
          <w:tcPr>
            <w:tcW w:w="0" w:type="auto"/>
          </w:tcPr>
          <w:p w14:paraId="3158A7AA" w14:textId="77777777" w:rsidR="00D45EF4" w:rsidRDefault="00000000">
            <w:pPr>
              <w:pStyle w:val="Compact"/>
            </w:pPr>
            <w:r>
              <w:t>0.009</w:t>
            </w:r>
          </w:p>
        </w:tc>
        <w:tc>
          <w:tcPr>
            <w:tcW w:w="0" w:type="auto"/>
          </w:tcPr>
          <w:p w14:paraId="3124E592" w14:textId="77777777" w:rsidR="00D45EF4" w:rsidRDefault="00000000">
            <w:pPr>
              <w:pStyle w:val="Compact"/>
            </w:pPr>
            <w:r>
              <w:t>1.3</w:t>
            </w:r>
          </w:p>
        </w:tc>
        <w:tc>
          <w:tcPr>
            <w:tcW w:w="0" w:type="auto"/>
          </w:tcPr>
          <w:p w14:paraId="6F87F072" w14:textId="77777777" w:rsidR="00D45EF4" w:rsidRDefault="00000000">
            <w:pPr>
              <w:pStyle w:val="Compact"/>
            </w:pPr>
            <w:r>
              <w:t>5.6</w:t>
            </w:r>
          </w:p>
        </w:tc>
        <w:tc>
          <w:tcPr>
            <w:tcW w:w="0" w:type="auto"/>
          </w:tcPr>
          <w:p w14:paraId="4D204085" w14:textId="77777777" w:rsidR="00D45EF4" w:rsidRDefault="00000000">
            <w:pPr>
              <w:pStyle w:val="Compact"/>
            </w:pPr>
            <w:r>
              <w:t>0.9651</w:t>
            </w:r>
          </w:p>
        </w:tc>
        <w:tc>
          <w:tcPr>
            <w:tcW w:w="0" w:type="auto"/>
          </w:tcPr>
          <w:p w14:paraId="695818F0" w14:textId="77777777" w:rsidR="00D45EF4" w:rsidRDefault="00000000">
            <w:pPr>
              <w:pStyle w:val="Compact"/>
            </w:pPr>
            <w:r>
              <w:t>5.0e-03</w:t>
            </w:r>
          </w:p>
        </w:tc>
        <w:tc>
          <w:tcPr>
            <w:tcW w:w="0" w:type="auto"/>
          </w:tcPr>
          <w:p w14:paraId="73C19B3B" w14:textId="77777777" w:rsidR="00D45EF4" w:rsidRDefault="00000000">
            <w:pPr>
              <w:pStyle w:val="Compact"/>
            </w:pPr>
            <w:r>
              <w:t>-4.6</w:t>
            </w:r>
          </w:p>
        </w:tc>
      </w:tr>
      <w:tr w:rsidR="00D45EF4" w14:paraId="1E11BADB" w14:textId="77777777">
        <w:tc>
          <w:tcPr>
            <w:tcW w:w="0" w:type="auto"/>
          </w:tcPr>
          <w:p w14:paraId="2702D1E1" w14:textId="77777777" w:rsidR="00D45EF4" w:rsidRDefault="00000000">
            <w:pPr>
              <w:pStyle w:val="Compact"/>
            </w:pPr>
            <w:r>
              <w:t>0.010</w:t>
            </w:r>
          </w:p>
        </w:tc>
        <w:tc>
          <w:tcPr>
            <w:tcW w:w="0" w:type="auto"/>
          </w:tcPr>
          <w:p w14:paraId="323A61E2" w14:textId="77777777" w:rsidR="00D45EF4" w:rsidRDefault="00000000">
            <w:pPr>
              <w:pStyle w:val="Compact"/>
            </w:pPr>
            <w:r>
              <w:t>1.1</w:t>
            </w:r>
          </w:p>
        </w:tc>
        <w:tc>
          <w:tcPr>
            <w:tcW w:w="0" w:type="auto"/>
          </w:tcPr>
          <w:p w14:paraId="04C9D6F9" w14:textId="77777777" w:rsidR="00D45EF4" w:rsidRDefault="00000000">
            <w:pPr>
              <w:pStyle w:val="Compact"/>
            </w:pPr>
            <w:r>
              <w:t>5.5</w:t>
            </w:r>
          </w:p>
        </w:tc>
        <w:tc>
          <w:tcPr>
            <w:tcW w:w="0" w:type="auto"/>
          </w:tcPr>
          <w:p w14:paraId="4E48C6F4" w14:textId="77777777" w:rsidR="00D45EF4" w:rsidRDefault="00000000">
            <w:pPr>
              <w:pStyle w:val="Compact"/>
            </w:pPr>
            <w:r>
              <w:t>0.9658</w:t>
            </w:r>
          </w:p>
        </w:tc>
        <w:tc>
          <w:tcPr>
            <w:tcW w:w="0" w:type="auto"/>
          </w:tcPr>
          <w:p w14:paraId="590556D4" w14:textId="77777777" w:rsidR="00D45EF4" w:rsidRDefault="00000000">
            <w:pPr>
              <w:pStyle w:val="Compact"/>
            </w:pPr>
            <w:r>
              <w:t>4.6e-03</w:t>
            </w:r>
          </w:p>
        </w:tc>
        <w:tc>
          <w:tcPr>
            <w:tcW w:w="0" w:type="auto"/>
          </w:tcPr>
          <w:p w14:paraId="3CE0FB33" w14:textId="77777777" w:rsidR="00D45EF4" w:rsidRDefault="00000000">
            <w:pPr>
              <w:pStyle w:val="Compact"/>
            </w:pPr>
            <w:r>
              <w:t>-3.9</w:t>
            </w:r>
          </w:p>
        </w:tc>
      </w:tr>
      <w:tr w:rsidR="00D45EF4" w14:paraId="49E8FE46" w14:textId="77777777">
        <w:tc>
          <w:tcPr>
            <w:tcW w:w="0" w:type="auto"/>
          </w:tcPr>
          <w:p w14:paraId="293A298B" w14:textId="77777777" w:rsidR="00D45EF4" w:rsidRDefault="00000000">
            <w:pPr>
              <w:pStyle w:val="Compact"/>
            </w:pPr>
            <w:r>
              <w:t>0.012</w:t>
            </w:r>
          </w:p>
        </w:tc>
        <w:tc>
          <w:tcPr>
            <w:tcW w:w="0" w:type="auto"/>
          </w:tcPr>
          <w:p w14:paraId="37588600" w14:textId="77777777" w:rsidR="00D45EF4" w:rsidRDefault="00000000">
            <w:pPr>
              <w:pStyle w:val="Compact"/>
            </w:pPr>
            <w:r>
              <w:t>1.5</w:t>
            </w:r>
          </w:p>
        </w:tc>
        <w:tc>
          <w:tcPr>
            <w:tcW w:w="0" w:type="auto"/>
          </w:tcPr>
          <w:p w14:paraId="5A1972EF" w14:textId="77777777" w:rsidR="00D45EF4" w:rsidRDefault="00000000">
            <w:pPr>
              <w:pStyle w:val="Compact"/>
            </w:pPr>
            <w:r>
              <w:t>5.7</w:t>
            </w:r>
          </w:p>
        </w:tc>
        <w:tc>
          <w:tcPr>
            <w:tcW w:w="0" w:type="auto"/>
          </w:tcPr>
          <w:p w14:paraId="1D5B18DD" w14:textId="77777777" w:rsidR="00D45EF4" w:rsidRDefault="00000000">
            <w:pPr>
              <w:pStyle w:val="Compact"/>
            </w:pPr>
            <w:r>
              <w:t>0.9644</w:t>
            </w:r>
          </w:p>
        </w:tc>
        <w:tc>
          <w:tcPr>
            <w:tcW w:w="0" w:type="auto"/>
          </w:tcPr>
          <w:p w14:paraId="4AD58830" w14:textId="77777777" w:rsidR="00D45EF4" w:rsidRDefault="00000000">
            <w:pPr>
              <w:pStyle w:val="Compact"/>
            </w:pPr>
            <w:r>
              <w:t>5.9e-03</w:t>
            </w:r>
          </w:p>
        </w:tc>
        <w:tc>
          <w:tcPr>
            <w:tcW w:w="0" w:type="auto"/>
          </w:tcPr>
          <w:p w14:paraId="7CD67239" w14:textId="77777777" w:rsidR="00D45EF4" w:rsidRDefault="00000000">
            <w:pPr>
              <w:pStyle w:val="Compact"/>
            </w:pPr>
            <w:r>
              <w:t>-3.5</w:t>
            </w:r>
          </w:p>
        </w:tc>
      </w:tr>
    </w:tbl>
    <w:p w14:paraId="0A6FB027" w14:textId="77777777" w:rsidR="00D45EF4" w:rsidRDefault="00000000">
      <w:pPr>
        <w:pStyle w:val="Nagwek2"/>
      </w:pPr>
      <w:bookmarkStart w:id="9" w:name="reheating-and-e-fold-accounting"/>
      <w:bookmarkEnd w:id="7"/>
      <w:bookmarkEnd w:id="8"/>
      <w:r>
        <w:t>7. Reheating and e-fold accounting</w:t>
      </w:r>
    </w:p>
    <w:p w14:paraId="79C59125" w14:textId="77777777" w:rsidR="00D45EF4" w:rsidRDefault="00000000">
      <w:pPr>
        <w:pStyle w:val="FirstParagraph"/>
      </w:pPr>
      <w:r>
        <w:t>Consistent comparison to data requires fixing the mapping between () and the CMB pivot scale. For perturbative reheating with an averaged equation of state (w_{} = 0), the number of e-folds between horizon exit and the end of inflation obeys</w:t>
      </w:r>
    </w:p>
    <w:p w14:paraId="2B5E3580" w14:textId="77777777" w:rsidR="00D45EF4" w:rsidRDefault="00000000">
      <w:pPr>
        <w:pStyle w:val="Tekstpodstawowy"/>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57</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0.05 </m:t>
                  </m:r>
                  <m:sSup>
                    <m:sSupPr>
                      <m:ctrlPr>
                        <w:rPr>
                          <w:rFonts w:ascii="Cambria Math" w:hAnsi="Cambria Math"/>
                        </w:rPr>
                      </m:ctrlPr>
                    </m:sSupPr>
                    <m:e>
                      <m:r>
                        <m:rPr>
                          <m:nor/>
                        </m:rPr>
                        <m:t>Mpc</m:t>
                      </m:r>
                    </m:e>
                    <m:sup>
                      <m:r>
                        <m:rPr>
                          <m:sty m:val="p"/>
                        </m:rPr>
                        <w:rPr>
                          <w:rFonts w:ascii="Cambria Math" w:hAnsi="Cambria Math"/>
                        </w:rPr>
                        <m:t>-</m:t>
                      </m:r>
                      <m:r>
                        <w:rPr>
                          <w:rFonts w:ascii="Cambria Math" w:hAnsi="Cambria Math"/>
                        </w:rPr>
                        <m:t>1</m:t>
                      </m:r>
                    </m:sup>
                  </m:sSup>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k</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w</m:t>
                  </m:r>
                </m:e>
                <m:sub>
                  <m:r>
                    <m:rPr>
                      <m:nor/>
                    </m:rPr>
                    <m:t>reh</m:t>
                  </m:r>
                </m:sub>
              </m:sSub>
            </m:num>
            <m:den>
              <m:r>
                <w:rPr>
                  <w:rFonts w:ascii="Cambria Math" w:hAnsi="Cambria Math"/>
                </w:rPr>
                <m:t>12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reh</m:t>
                      </m:r>
                    </m:sub>
                  </m:sSub>
                </m:e>
              </m:d>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reh</m:t>
                      </m:r>
                    </m:sub>
                  </m:sSub>
                </m:num>
                <m:den>
                  <m:sSub>
                    <m:sSubPr>
                      <m:ctrlPr>
                        <w:rPr>
                          <w:rFonts w:ascii="Cambria Math" w:hAnsi="Cambria Math"/>
                        </w:rPr>
                      </m:ctrlPr>
                    </m:sSubPr>
                    <m:e>
                      <m:r>
                        <w:rPr>
                          <w:rFonts w:ascii="Cambria Math" w:hAnsi="Cambria Math"/>
                        </w:rPr>
                        <m:t>ρ</m:t>
                      </m:r>
                    </m:e>
                    <m:sub>
                      <m:r>
                        <m:rPr>
                          <m:nor/>
                        </m:rPr>
                        <m:t>end</m:t>
                      </m:r>
                    </m:sub>
                  </m:sSub>
                </m:den>
              </m:f>
            </m:e>
          </m:d>
          <m:r>
            <m:rPr>
              <m:sty m:val="p"/>
            </m:rPr>
            <w:rPr>
              <w:rFonts w:ascii="Cambria Math" w:hAnsi="Cambria Math"/>
            </w:rPr>
            <m:t>.</m:t>
          </m:r>
        </m:oMath>
      </m:oMathPara>
    </w:p>
    <w:p w14:paraId="5837291E" w14:textId="77777777" w:rsidR="00D45EF4" w:rsidRDefault="00000000">
      <w:pPr>
        <w:pStyle w:val="FirstParagraph"/>
      </w:pPr>
      <w:r>
        <w:t>Using the best-fit ASG background, (</w:t>
      </w:r>
      <w:r>
        <w:rPr>
          <w:i/>
          <w:iCs/>
        </w:rPr>
        <w:t>{} = 1.7 ^{-9} M</w:t>
      </w:r>
      <w:r>
        <w:t>^4) and a perturbative decay width (</w:t>
      </w:r>
      <w:r>
        <w:rPr>
          <w:i/>
          <w:iCs/>
        </w:rPr>
        <w:t>= g^2 m</w:t>
      </w:r>
      <w:r>
        <w:t>/(8)) with (g = 10^{-3}) give (T_{}  ^9,) and (N_k = 54 ). These values keep (n_s) inside the Planck24/ACT 68% contour while leaving enough room for scenarios with mild kination (up to (w_{} = 0.2)).</w:t>
      </w:r>
    </w:p>
    <w:p w14:paraId="573157E3" w14:textId="77777777" w:rsidR="00D45EF4" w:rsidRDefault="00000000">
      <w:pPr>
        <w:pStyle w:val="Nagwek2"/>
      </w:pPr>
      <w:bookmarkStart w:id="10" w:name="rg-origin-of-the-screen"/>
      <w:bookmarkEnd w:id="9"/>
      <w:r>
        <w:t>8. RG origin of the screen</w:t>
      </w:r>
    </w:p>
    <w:p w14:paraId="1B058033" w14:textId="77777777" w:rsidR="00D45EF4" w:rsidRDefault="00000000">
      <w:pPr>
        <w:pStyle w:val="FirstParagraph"/>
      </w:pPr>
      <w:r>
        <w:t>The Gaussian threshold in (F()) can arise from integrating out a heavy multiplet () whose mass depends on (): (m_^2() = m_0^2 + y^2 (- _0)^2). Matching the Jordan-frame action across the threshold produces</w:t>
      </w:r>
    </w:p>
    <w:p w14:paraId="3D13EB1C" w14:textId="77777777" w:rsidR="00D45EF4" w:rsidRDefault="00000000">
      <w:pPr>
        <w:pStyle w:val="Tekstpodstawowy"/>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χ</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m:rPr>
                  <m:nor/>
                </m:rPr>
                <m:t>Pl</m:t>
              </m:r>
            </m:sub>
            <m:sup>
              <m:r>
                <w:rPr>
                  <w:rFonts w:ascii="Cambria Math" w:hAnsi="Cambria Math"/>
                </w:rPr>
                <m:t>2</m:t>
              </m:r>
            </m:sup>
          </m:sSubSup>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16</m:t>
                  </m:r>
                  <m:sSup>
                    <m:sSupPr>
                      <m:ctrlPr>
                        <w:rPr>
                          <w:rFonts w:ascii="Cambria Math" w:hAnsi="Cambria Math"/>
                        </w:rPr>
                      </m:ctrlPr>
                    </m:sSupPr>
                    <m:e>
                      <m:r>
                        <w:rPr>
                          <w:rFonts w:ascii="Cambria Math" w:hAnsi="Cambria Math"/>
                        </w:rPr>
                        <m:t>π</m:t>
                      </m:r>
                    </m:e>
                    <m:sup>
                      <m:r>
                        <w:rPr>
                          <w:rFonts w:ascii="Cambria Math" w:hAnsi="Cambria Math"/>
                        </w:rPr>
                        <m:t>2</m:t>
                      </m:r>
                    </m:sup>
                  </m:sSup>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Ψ</m:t>
                          </m:r>
                        </m:sub>
                        <m:sup>
                          <m:r>
                            <w:rPr>
                              <w:rFonts w:ascii="Cambria Math" w:hAnsi="Cambria Math"/>
                            </w:rPr>
                            <m:t>2</m:t>
                          </m:r>
                        </m:sup>
                      </m:sSubSup>
                      <m:d>
                        <m:dPr>
                          <m:ctrlPr>
                            <w:rPr>
                              <w:rFonts w:ascii="Cambria Math" w:hAnsi="Cambria Math"/>
                            </w:rPr>
                          </m:ctrlPr>
                        </m:dPr>
                        <m:e>
                          <m:r>
                            <w:rPr>
                              <w:rFonts w:ascii="Cambria Math" w:hAnsi="Cambria Math"/>
                            </w:rPr>
                            <m:t>χ</m:t>
                          </m: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e>
              </m:d>
            </m:e>
          </m:d>
          <m:r>
            <m:rPr>
              <m:sty m:val="p"/>
            </m:rPr>
            <w:rPr>
              <w:rFonts w:ascii="Cambria Math" w:hAnsi="Cambria Math"/>
            </w:rPr>
            <m:t>,</m:t>
          </m:r>
        </m:oMath>
      </m:oMathPara>
    </w:p>
    <w:p w14:paraId="402F6F0F" w14:textId="77777777" w:rsidR="00D45EF4" w:rsidRDefault="00000000">
      <w:pPr>
        <w:pStyle w:val="FirstParagraph"/>
      </w:pPr>
      <w:r>
        <w:t>which, after expanding near (</w:t>
      </w:r>
      <w:r>
        <w:rPr>
          <w:i/>
          <w:iCs/>
        </w:rPr>
        <w:t>0) and resumming higher loops, yields the localized Gaussian used in Section 2 with ((y</w:t>
      </w:r>
      <w:r>
        <w:rPr>
          <w:i/>
          <w:iCs/>
          <w:vertAlign w:val="superscript"/>
        </w:rPr>
        <w:t>2/</w:t>
      </w:r>
      <w:r>
        <w:rPr>
          <w:i/>
          <w:iCs/>
        </w:rPr>
        <w:t>2)). Embedding the construction in asymptotically safe gravity or scalar-tensor EFTs ensures that (F()) remains positive and that higher-derivative corrections are suppressed by (^{-2} (10,M</w:t>
      </w:r>
      <w:r>
        <w:t>)^{-2}), keeping the active screen under perturbative control.</w:t>
      </w:r>
    </w:p>
    <w:p w14:paraId="76C45CC6" w14:textId="77777777" w:rsidR="00D45EF4" w:rsidRDefault="00000000">
      <w:pPr>
        <w:pStyle w:val="Nagwek2"/>
      </w:pPr>
      <w:bookmarkStart w:id="11" w:name="extended-observables-beyond-n_s-and-r"/>
      <w:bookmarkEnd w:id="10"/>
      <w:r>
        <w:t>9. Extended observables beyond (n_s) and (r)</w:t>
      </w:r>
    </w:p>
    <w:p w14:paraId="66281F53" w14:textId="77777777" w:rsidR="00D45EF4" w:rsidRDefault="00000000">
      <w:pPr>
        <w:pStyle w:val="FirstParagraph"/>
      </w:pPr>
      <w:r>
        <w:t>We propagated the best-fit background through second-order slow-roll expressions and the in-in bispectrum formalism to quantify observables that lie beyond the scalar tilt and tensor ratio. The running of the tilt evaluates to (</w:t>
      </w:r>
      <w:r>
        <w:rPr>
          <w:i/>
          <w:iCs/>
        </w:rPr>
        <w:t>s dn_s/dk = -7.1() ^{-4}), in excellent agreement with the Planck24+ACT/BK21 composite posterior and distinguishable from zero only with LiteBIRD- or CMB-S4-level precision. The tensor tilt follows the single-clock consistency relation, (n_t = -r/8 = -6.4() ^{-4}), implying a suppressed stochastic gravitational-wave background on interferometer scales. For the bispectrum we find - local shape: (f</w:t>
      </w:r>
      <w:r>
        <w:t xml:space="preserve">{}^{} = 0.12 ), - equilateral shape: (f_{}^{} = 0.31 ), - orthogonal shape: (f_{}^{} = -0.05 ), all of which remain consistent with single-field slow-roll expectations but offer concrete targets for high-resolution CMB or large-scale-structure surveys. Reheating scenarios that respect (T_{} ^9,) keep the effective number of relativistic species within (N_{} &lt; 0.04), preserving </w:t>
      </w:r>
      <w:r>
        <w:lastRenderedPageBreak/>
        <w:t>compatibility with BBN and CMB bounds. Together, these observables show that ASG departs from minimal benchmarks only through the geometric screening sector, providing multiple cross-checks for upcoming experiments.</w:t>
      </w:r>
    </w:p>
    <w:p w14:paraId="2C4695AF" w14:textId="77777777" w:rsidR="00D45EF4" w:rsidRDefault="00000000">
      <w:pPr>
        <w:pStyle w:val="Nagwek2"/>
      </w:pPr>
      <w:bookmarkStart w:id="12" w:name="Xf09d3c3857f635270eb4fc062423f5a1979b383"/>
      <w:bookmarkEnd w:id="11"/>
      <w:r>
        <w:t>10. Comparison with benchmark inflationary models</w:t>
      </w:r>
    </w:p>
    <w:p w14:paraId="2AE92EF2" w14:textId="77777777" w:rsidR="00D45EF4" w:rsidRDefault="00000000">
      <w:pPr>
        <w:pStyle w:val="FirstParagraph"/>
      </w:pPr>
      <w:r>
        <w:t>To contextualize ASG, we contrasted its predictions with Starobinsky (R^2) inflation, Higgs inflation, and representative ()-attractors, all evaluated at (k_= 0.05,^{-1}) and (N_k = 54). Unlike the benchmark potentials, ASG trades potential flattening for a running Planck mass, leading to slightly larger (r) but improved (^2) thanks to the correlated shift in (n_s). The table highlights that ASG accomplishes tensor suppression without invoking very small (r), thereby remaining falsifiable by near-term missions (LiteBIRD, CMB-S4, PICO), while also avoiding the tight Higgs-inflation coupling between the Standard Model parameters and reheating.</w:t>
      </w:r>
    </w:p>
    <w:p w14:paraId="4EBAC19F" w14:textId="77777777" w:rsidR="00D45EF4" w:rsidRDefault="00000000">
      <w:pPr>
        <w:pStyle w:val="Nagwek3"/>
      </w:pPr>
      <w:bookmarkStart w:id="13" w:name="Xd5023f7666d5a28b89d380c0f5ff42f52e0f933"/>
      <w:r>
        <w:t>Table 5. Comparison of benchmark predictions at the Planck24+ACT+BK21+SO-PF best-fit posterior</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D45EF4" w14:paraId="51EB7B37"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1320" w:type="dxa"/>
          </w:tcPr>
          <w:p w14:paraId="6DA2C414" w14:textId="77777777" w:rsidR="00D45EF4" w:rsidRDefault="00000000">
            <w:pPr>
              <w:pStyle w:val="Compact"/>
            </w:pPr>
            <w:r>
              <w:t>Model</w:t>
            </w:r>
          </w:p>
        </w:tc>
        <w:tc>
          <w:tcPr>
            <w:tcW w:w="1320" w:type="dxa"/>
          </w:tcPr>
          <w:p w14:paraId="184932DF" w14:textId="77777777" w:rsidR="00D45EF4" w:rsidRDefault="00000000">
            <w:pPr>
              <w:pStyle w:val="Compact"/>
            </w:pPr>
            <w:r>
              <w:t>n_s</w:t>
            </w:r>
          </w:p>
        </w:tc>
        <w:tc>
          <w:tcPr>
            <w:tcW w:w="1320" w:type="dxa"/>
          </w:tcPr>
          <w:p w14:paraId="4B315560" w14:textId="77777777" w:rsidR="00D45EF4" w:rsidRDefault="00000000">
            <w:pPr>
              <w:pStyle w:val="Compact"/>
            </w:pPr>
            <w:r>
              <w:t>r</w:t>
            </w:r>
          </w:p>
        </w:tc>
        <w:tc>
          <w:tcPr>
            <w:tcW w:w="1320" w:type="dxa"/>
          </w:tcPr>
          <w:p w14:paraId="3EA51ED7" w14:textId="77777777" w:rsidR="00D45EF4" w:rsidRDefault="00000000">
            <w:pPr>
              <w:pStyle w:val="Compact"/>
            </w:pPr>
            <w:r>
              <w:t>α_s</w:t>
            </w:r>
          </w:p>
        </w:tc>
        <w:tc>
          <w:tcPr>
            <w:tcW w:w="1320" w:type="dxa"/>
          </w:tcPr>
          <w:p w14:paraId="5F9CE536" w14:textId="77777777" w:rsidR="00D45EF4" w:rsidRDefault="00000000">
            <w:pPr>
              <w:pStyle w:val="Compact"/>
            </w:pPr>
            <w:r>
              <w:t>f_NL^{equil}</w:t>
            </w:r>
          </w:p>
        </w:tc>
        <w:tc>
          <w:tcPr>
            <w:tcW w:w="1320" w:type="dxa"/>
          </w:tcPr>
          <w:p w14:paraId="211230EB" w14:textId="77777777" w:rsidR="00D45EF4" w:rsidRDefault="00000000">
            <w:pPr>
              <w:pStyle w:val="Compact"/>
            </w:pPr>
            <w:r>
              <w:t>Comments</w:t>
            </w:r>
          </w:p>
        </w:tc>
      </w:tr>
      <w:tr w:rsidR="00D45EF4" w14:paraId="7981E7E1" w14:textId="77777777">
        <w:tc>
          <w:tcPr>
            <w:tcW w:w="1320" w:type="dxa"/>
          </w:tcPr>
          <w:p w14:paraId="51E2D0A2" w14:textId="77777777" w:rsidR="00D45EF4" w:rsidRDefault="00000000">
            <w:pPr>
              <w:pStyle w:val="Compact"/>
            </w:pPr>
            <w:r>
              <w:t>ASG (this work)</w:t>
            </w:r>
          </w:p>
        </w:tc>
        <w:tc>
          <w:tcPr>
            <w:tcW w:w="1320" w:type="dxa"/>
          </w:tcPr>
          <w:p w14:paraId="056AC706" w14:textId="77777777" w:rsidR="00D45EF4" w:rsidRDefault="00000000">
            <w:pPr>
              <w:pStyle w:val="Compact"/>
            </w:pPr>
            <w:r>
              <w:t>0.9652</w:t>
            </w:r>
          </w:p>
        </w:tc>
        <w:tc>
          <w:tcPr>
            <w:tcW w:w="1320" w:type="dxa"/>
          </w:tcPr>
          <w:p w14:paraId="6C61E16E" w14:textId="77777777" w:rsidR="00D45EF4" w:rsidRDefault="00000000">
            <w:pPr>
              <w:pStyle w:val="Compact"/>
            </w:pPr>
            <w:r>
              <w:t>5.1e-03</w:t>
            </w:r>
          </w:p>
        </w:tc>
        <w:tc>
          <w:tcPr>
            <w:tcW w:w="1320" w:type="dxa"/>
          </w:tcPr>
          <w:p w14:paraId="02123845" w14:textId="77777777" w:rsidR="00D45EF4" w:rsidRDefault="00000000">
            <w:pPr>
              <w:pStyle w:val="Compact"/>
            </w:pPr>
            <w:r>
              <w:t>-7.1e-04</w:t>
            </w:r>
          </w:p>
        </w:tc>
        <w:tc>
          <w:tcPr>
            <w:tcW w:w="1320" w:type="dxa"/>
          </w:tcPr>
          <w:p w14:paraId="1005538F" w14:textId="77777777" w:rsidR="00D45EF4" w:rsidRDefault="00000000">
            <w:pPr>
              <w:pStyle w:val="Compact"/>
            </w:pPr>
            <w:r>
              <w:t>0.31</w:t>
            </w:r>
          </w:p>
        </w:tc>
        <w:tc>
          <w:tcPr>
            <w:tcW w:w="1320" w:type="dxa"/>
          </w:tcPr>
          <w:p w14:paraId="37635A09" w14:textId="77777777" w:rsidR="00D45EF4" w:rsidRDefault="00000000">
            <w:pPr>
              <w:pStyle w:val="Compact"/>
            </w:pPr>
            <w:r>
              <w:t>Δχ² = -4.6 vs. ΛCDM+r (Planck24+ACT+BK21+SO); tensors testable near r ∼ 10^{-3}</w:t>
            </w:r>
          </w:p>
        </w:tc>
      </w:tr>
      <w:tr w:rsidR="00D45EF4" w14:paraId="12F5DDC4" w14:textId="77777777">
        <w:tc>
          <w:tcPr>
            <w:tcW w:w="1320" w:type="dxa"/>
          </w:tcPr>
          <w:p w14:paraId="07A99010" w14:textId="77777777" w:rsidR="00D45EF4" w:rsidRDefault="00000000">
            <w:pPr>
              <w:pStyle w:val="Compact"/>
            </w:pPr>
            <w:r>
              <w:t>Starobinsky R^2</w:t>
            </w:r>
          </w:p>
        </w:tc>
        <w:tc>
          <w:tcPr>
            <w:tcW w:w="1320" w:type="dxa"/>
          </w:tcPr>
          <w:p w14:paraId="0F0869E4" w14:textId="77777777" w:rsidR="00D45EF4" w:rsidRDefault="00000000">
            <w:pPr>
              <w:pStyle w:val="Compact"/>
            </w:pPr>
            <w:r>
              <w:t>0.965</w:t>
            </w:r>
          </w:p>
        </w:tc>
        <w:tc>
          <w:tcPr>
            <w:tcW w:w="1320" w:type="dxa"/>
          </w:tcPr>
          <w:p w14:paraId="50D30C85" w14:textId="77777777" w:rsidR="00D45EF4" w:rsidRDefault="00000000">
            <w:pPr>
              <w:pStyle w:val="Compact"/>
            </w:pPr>
            <w:r>
              <w:t>3.5e-03</w:t>
            </w:r>
          </w:p>
        </w:tc>
        <w:tc>
          <w:tcPr>
            <w:tcW w:w="1320" w:type="dxa"/>
          </w:tcPr>
          <w:p w14:paraId="4B94291A" w14:textId="77777777" w:rsidR="00D45EF4" w:rsidRDefault="00000000">
            <w:pPr>
              <w:pStyle w:val="Compact"/>
            </w:pPr>
            <w:r>
              <w:t>-7.4e-04</w:t>
            </w:r>
          </w:p>
        </w:tc>
        <w:tc>
          <w:tcPr>
            <w:tcW w:w="1320" w:type="dxa"/>
          </w:tcPr>
          <w:p w14:paraId="0DF99BAC" w14:textId="77777777" w:rsidR="00D45EF4" w:rsidRDefault="00000000">
            <w:pPr>
              <w:pStyle w:val="Compact"/>
            </w:pPr>
            <w:r>
              <w:t>0.01</w:t>
            </w:r>
          </w:p>
        </w:tc>
        <w:tc>
          <w:tcPr>
            <w:tcW w:w="1320" w:type="dxa"/>
          </w:tcPr>
          <w:p w14:paraId="3BD5C510" w14:textId="77777777" w:rsidR="00D45EF4" w:rsidRDefault="00000000">
            <w:pPr>
              <w:pStyle w:val="Compact"/>
            </w:pPr>
            <w:r>
              <w:t>Plateau model with fixed r = 12/N^2, no Δχ² improvement</w:t>
            </w:r>
          </w:p>
        </w:tc>
      </w:tr>
      <w:tr w:rsidR="00D45EF4" w14:paraId="25B509A6" w14:textId="77777777">
        <w:tc>
          <w:tcPr>
            <w:tcW w:w="1320" w:type="dxa"/>
          </w:tcPr>
          <w:p w14:paraId="7D4971B4" w14:textId="77777777" w:rsidR="00D45EF4" w:rsidRDefault="00000000">
            <w:pPr>
              <w:pStyle w:val="Compact"/>
            </w:pPr>
            <w:r>
              <w:t>Higgs inflation</w:t>
            </w:r>
          </w:p>
        </w:tc>
        <w:tc>
          <w:tcPr>
            <w:tcW w:w="1320" w:type="dxa"/>
          </w:tcPr>
          <w:p w14:paraId="059C0DDD" w14:textId="77777777" w:rsidR="00D45EF4" w:rsidRDefault="00000000">
            <w:pPr>
              <w:pStyle w:val="Compact"/>
            </w:pPr>
            <w:r>
              <w:t>0.965</w:t>
            </w:r>
          </w:p>
        </w:tc>
        <w:tc>
          <w:tcPr>
            <w:tcW w:w="1320" w:type="dxa"/>
          </w:tcPr>
          <w:p w14:paraId="4ECC9A58" w14:textId="77777777" w:rsidR="00D45EF4" w:rsidRDefault="00000000">
            <w:pPr>
              <w:pStyle w:val="Compact"/>
            </w:pPr>
            <w:r>
              <w:t>3.0e-03</w:t>
            </w:r>
          </w:p>
        </w:tc>
        <w:tc>
          <w:tcPr>
            <w:tcW w:w="1320" w:type="dxa"/>
          </w:tcPr>
          <w:p w14:paraId="1A4A119D" w14:textId="77777777" w:rsidR="00D45EF4" w:rsidRDefault="00000000">
            <w:pPr>
              <w:pStyle w:val="Compact"/>
            </w:pPr>
            <w:r>
              <w:t>-7.4e-04</w:t>
            </w:r>
          </w:p>
        </w:tc>
        <w:tc>
          <w:tcPr>
            <w:tcW w:w="1320" w:type="dxa"/>
          </w:tcPr>
          <w:p w14:paraId="2692803D" w14:textId="77777777" w:rsidR="00D45EF4" w:rsidRDefault="00000000">
            <w:pPr>
              <w:pStyle w:val="Compact"/>
            </w:pPr>
            <w:r>
              <w:t>0.01</w:t>
            </w:r>
          </w:p>
        </w:tc>
        <w:tc>
          <w:tcPr>
            <w:tcW w:w="1320" w:type="dxa"/>
          </w:tcPr>
          <w:p w14:paraId="5D4E7395" w14:textId="77777777" w:rsidR="00D45EF4" w:rsidRDefault="00000000">
            <w:pPr>
              <w:pStyle w:val="Compact"/>
            </w:pPr>
            <w:r>
              <w:t>Requires SM running control and large non-minimal coupling</w:t>
            </w:r>
          </w:p>
        </w:tc>
      </w:tr>
      <w:tr w:rsidR="00D45EF4" w14:paraId="6A473C86" w14:textId="77777777">
        <w:tc>
          <w:tcPr>
            <w:tcW w:w="1320" w:type="dxa"/>
          </w:tcPr>
          <w:p w14:paraId="2D3FFC13" w14:textId="77777777" w:rsidR="00D45EF4" w:rsidRDefault="00000000">
            <w:pPr>
              <w:pStyle w:val="Compact"/>
            </w:pPr>
            <w:r>
              <w:t>α-attractor (E=2)</w:t>
            </w:r>
          </w:p>
        </w:tc>
        <w:tc>
          <w:tcPr>
            <w:tcW w:w="1320" w:type="dxa"/>
          </w:tcPr>
          <w:p w14:paraId="0AB6256B" w14:textId="77777777" w:rsidR="00D45EF4" w:rsidRDefault="00000000">
            <w:pPr>
              <w:pStyle w:val="Compact"/>
            </w:pPr>
            <w:r>
              <w:t>0.966</w:t>
            </w:r>
          </w:p>
        </w:tc>
        <w:tc>
          <w:tcPr>
            <w:tcW w:w="1320" w:type="dxa"/>
          </w:tcPr>
          <w:p w14:paraId="08C63C69" w14:textId="77777777" w:rsidR="00D45EF4" w:rsidRDefault="00000000">
            <w:pPr>
              <w:pStyle w:val="Compact"/>
            </w:pPr>
            <w:r>
              <w:t>8.0e-04</w:t>
            </w:r>
          </w:p>
        </w:tc>
        <w:tc>
          <w:tcPr>
            <w:tcW w:w="1320" w:type="dxa"/>
          </w:tcPr>
          <w:p w14:paraId="38084703" w14:textId="77777777" w:rsidR="00D45EF4" w:rsidRDefault="00000000">
            <w:pPr>
              <w:pStyle w:val="Compact"/>
            </w:pPr>
            <w:r>
              <w:t>-7.4e-04</w:t>
            </w:r>
          </w:p>
        </w:tc>
        <w:tc>
          <w:tcPr>
            <w:tcW w:w="1320" w:type="dxa"/>
          </w:tcPr>
          <w:p w14:paraId="309900C7" w14:textId="77777777" w:rsidR="00D45EF4" w:rsidRDefault="00000000">
            <w:pPr>
              <w:pStyle w:val="Compact"/>
            </w:pPr>
            <w:r>
              <w:t>0.01</w:t>
            </w:r>
          </w:p>
        </w:tc>
        <w:tc>
          <w:tcPr>
            <w:tcW w:w="1320" w:type="dxa"/>
          </w:tcPr>
          <w:p w14:paraId="78BF9F17" w14:textId="77777777" w:rsidR="00D45EF4" w:rsidRDefault="00000000">
            <w:pPr>
              <w:pStyle w:val="Compact"/>
            </w:pPr>
            <w:r>
              <w:t>Predicts very small r, harder to falsify with near-term CMB</w:t>
            </w:r>
          </w:p>
        </w:tc>
      </w:tr>
    </w:tbl>
    <w:p w14:paraId="49E9D498" w14:textId="77777777" w:rsidR="00D45EF4" w:rsidRDefault="00000000">
      <w:pPr>
        <w:pStyle w:val="Nagwek2"/>
      </w:pPr>
      <w:bookmarkStart w:id="14" w:name="Xb80b143b07cf39519e07ce734639fab137aa685"/>
      <w:bookmarkEnd w:id="12"/>
      <w:bookmarkEnd w:id="13"/>
      <w:r>
        <w:lastRenderedPageBreak/>
        <w:t>11. Statistical evidence and information criteria</w:t>
      </w:r>
    </w:p>
    <w:p w14:paraId="2A8DA4FC" w14:textId="77777777" w:rsidR="00D45EF4" w:rsidRDefault="00000000">
      <w:pPr>
        <w:pStyle w:val="FirstParagraph"/>
      </w:pPr>
      <w:r>
        <w:t>To quantify the statistical weight of ASG relative to \((\Lambda\)CDM+\(r\)), we combined the Planck24+ACT DR6+SPT-3G 2024+BK21+SO-PF likelihood suite with PolyChord nested sampling and computed standard information criteria. The joint evidence ratio yields \(\Delta \ln Z = \ln Z_{\text{ASG}} - \ln Z_{\Lambda \text{CDM}+r} = 2.3 \pm 0.5\), which corresponds to moderate-to-strong Bayesian support on the Jeffreys scale despite introducing only one additional parameter. Using \(\chi^2\) minima and the total number of data points \(N_{\text{data}} = 3200\), the Akaike (AIC) and Bayesian (BIC) information criteria satisfy \[ \Delta \text{AIC} = (\chi^2_{\text{ASG}} + 2k_{\text{ASG}}) - (\chi^2_{0} + 2k_{0}) = -2.6, \] \[ \Delta \text{BIC} = (\chi^2_{\text{ASG}} + k_{\text{ASG}} \ln N_{\text{data}}) - (\chi^2_{0} + k_{0} \ln N_{\text{data}}) = 3.5, \] showing that AIC now prefers ASG more strongly (thanks to \(\Delta \chi^2 = -4.6\)), whereas the harsher BIC penalty still disfavors it because of the large data volume. The coexistence of a positive \(\Delta \ln Z\) and negative \(\Delta \text{AIC}\) emphasizes that the screening mechanism offers a statistically meaningful improvement without resorting to fine-tuning, yet remains falsifiable by future data.</w:t>
      </w:r>
    </w:p>
    <w:p w14:paraId="16FF2241" w14:textId="77777777" w:rsidR="00D45EF4" w:rsidRDefault="00000000">
      <w:pPr>
        <w:pStyle w:val="Nagwek3"/>
      </w:pPr>
      <w:bookmarkStart w:id="15" w:name="table-6.-model-selection-diagnostics"/>
      <w:r>
        <w:t>Table 6. Model-selection diagnostics</w:t>
      </w:r>
    </w:p>
    <w:tbl>
      <w:tblPr>
        <w:tblStyle w:val="Table"/>
        <w:tblW w:w="0" w:type="auto"/>
        <w:tblLook w:val="0020" w:firstRow="1" w:lastRow="0" w:firstColumn="0" w:lastColumn="0" w:noHBand="0" w:noVBand="0"/>
      </w:tblPr>
      <w:tblGrid>
        <w:gridCol w:w="2729"/>
        <w:gridCol w:w="1563"/>
        <w:gridCol w:w="1563"/>
        <w:gridCol w:w="2101"/>
      </w:tblGrid>
      <w:tr w:rsidR="00D45EF4" w14:paraId="237A968F"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0" w:type="auto"/>
          </w:tcPr>
          <w:p w14:paraId="54D1CEC2" w14:textId="77777777" w:rsidR="00D45EF4" w:rsidRDefault="00000000">
            <w:pPr>
              <w:pStyle w:val="Compact"/>
            </w:pPr>
            <w:r>
              <w:t>Metric</w:t>
            </w:r>
          </w:p>
        </w:tc>
        <w:tc>
          <w:tcPr>
            <w:tcW w:w="0" w:type="auto"/>
          </w:tcPr>
          <w:p w14:paraId="0FF5DCB2" w14:textId="77777777" w:rsidR="00D45EF4" w:rsidRDefault="00000000">
            <w:pPr>
              <w:pStyle w:val="Compact"/>
            </w:pPr>
            <w:r>
              <w:t>ΛCDM+r</w:t>
            </w:r>
          </w:p>
        </w:tc>
        <w:tc>
          <w:tcPr>
            <w:tcW w:w="0" w:type="auto"/>
          </w:tcPr>
          <w:p w14:paraId="66204193" w14:textId="77777777" w:rsidR="00D45EF4" w:rsidRDefault="00000000">
            <w:pPr>
              <w:pStyle w:val="Compact"/>
            </w:pPr>
            <w:r>
              <w:t>ASG</w:t>
            </w:r>
          </w:p>
        </w:tc>
        <w:tc>
          <w:tcPr>
            <w:tcW w:w="0" w:type="auto"/>
          </w:tcPr>
          <w:p w14:paraId="7E8084FB" w14:textId="77777777" w:rsidR="00D45EF4" w:rsidRDefault="00000000">
            <w:pPr>
              <w:pStyle w:val="Compact"/>
            </w:pPr>
            <w:r>
              <w:t>Δ (ASG − baseline)</w:t>
            </w:r>
          </w:p>
        </w:tc>
      </w:tr>
      <w:tr w:rsidR="00D45EF4" w14:paraId="30734A34" w14:textId="77777777">
        <w:tc>
          <w:tcPr>
            <w:tcW w:w="0" w:type="auto"/>
          </w:tcPr>
          <w:p w14:paraId="30EEABB7" w14:textId="77777777" w:rsidR="00D45EF4" w:rsidRDefault="00000000">
            <w:pPr>
              <w:pStyle w:val="Compact"/>
            </w:pPr>
            <w:r>
              <w:t>χ²_tot</w:t>
            </w:r>
          </w:p>
        </w:tc>
        <w:tc>
          <w:tcPr>
            <w:tcW w:w="0" w:type="auto"/>
          </w:tcPr>
          <w:p w14:paraId="4F3E550F" w14:textId="77777777" w:rsidR="00D45EF4" w:rsidRDefault="00000000">
            <w:pPr>
              <w:pStyle w:val="Compact"/>
            </w:pPr>
            <w:r>
              <w:t>3552.0</w:t>
            </w:r>
          </w:p>
        </w:tc>
        <w:tc>
          <w:tcPr>
            <w:tcW w:w="0" w:type="auto"/>
          </w:tcPr>
          <w:p w14:paraId="25520887" w14:textId="77777777" w:rsidR="00D45EF4" w:rsidRDefault="00000000">
            <w:pPr>
              <w:pStyle w:val="Compact"/>
            </w:pPr>
            <w:r>
              <w:t>3547.4</w:t>
            </w:r>
          </w:p>
        </w:tc>
        <w:tc>
          <w:tcPr>
            <w:tcW w:w="0" w:type="auto"/>
          </w:tcPr>
          <w:p w14:paraId="571DE1FB" w14:textId="77777777" w:rsidR="00D45EF4" w:rsidRDefault="00000000">
            <w:pPr>
              <w:pStyle w:val="Compact"/>
            </w:pPr>
            <w:r>
              <w:t>-4.6</w:t>
            </w:r>
          </w:p>
        </w:tc>
      </w:tr>
      <w:tr w:rsidR="00D45EF4" w14:paraId="6A88E2DD" w14:textId="77777777">
        <w:tc>
          <w:tcPr>
            <w:tcW w:w="0" w:type="auto"/>
          </w:tcPr>
          <w:p w14:paraId="51F27592" w14:textId="77777777" w:rsidR="00D45EF4" w:rsidRDefault="00000000">
            <w:pPr>
              <w:pStyle w:val="Compact"/>
            </w:pPr>
            <w:r>
              <w:t>Number of parameters k</w:t>
            </w:r>
          </w:p>
        </w:tc>
        <w:tc>
          <w:tcPr>
            <w:tcW w:w="0" w:type="auto"/>
          </w:tcPr>
          <w:p w14:paraId="5D954338" w14:textId="77777777" w:rsidR="00D45EF4" w:rsidRDefault="00000000">
            <w:pPr>
              <w:pStyle w:val="Compact"/>
            </w:pPr>
            <w:r>
              <w:t>6</w:t>
            </w:r>
          </w:p>
        </w:tc>
        <w:tc>
          <w:tcPr>
            <w:tcW w:w="0" w:type="auto"/>
          </w:tcPr>
          <w:p w14:paraId="4240ABBD" w14:textId="77777777" w:rsidR="00D45EF4" w:rsidRDefault="00000000">
            <w:pPr>
              <w:pStyle w:val="Compact"/>
            </w:pPr>
            <w:r>
              <w:t>7</w:t>
            </w:r>
          </w:p>
        </w:tc>
        <w:tc>
          <w:tcPr>
            <w:tcW w:w="0" w:type="auto"/>
          </w:tcPr>
          <w:p w14:paraId="460936D2" w14:textId="77777777" w:rsidR="00D45EF4" w:rsidRDefault="00000000">
            <w:pPr>
              <w:pStyle w:val="Compact"/>
            </w:pPr>
            <w:r>
              <w:t>+1</w:t>
            </w:r>
          </w:p>
        </w:tc>
      </w:tr>
      <w:tr w:rsidR="00D45EF4" w14:paraId="17343D1E" w14:textId="77777777">
        <w:tc>
          <w:tcPr>
            <w:tcW w:w="0" w:type="auto"/>
          </w:tcPr>
          <w:p w14:paraId="20742A8E" w14:textId="77777777" w:rsidR="00D45EF4" w:rsidRDefault="00000000">
            <w:pPr>
              <w:pStyle w:val="Compact"/>
            </w:pPr>
            <w:r>
              <w:t>AIC</w:t>
            </w:r>
          </w:p>
        </w:tc>
        <w:tc>
          <w:tcPr>
            <w:tcW w:w="0" w:type="auto"/>
          </w:tcPr>
          <w:p w14:paraId="23913D23" w14:textId="77777777" w:rsidR="00D45EF4" w:rsidRDefault="00000000">
            <w:pPr>
              <w:pStyle w:val="Compact"/>
            </w:pPr>
            <w:r>
              <w:t>3564.0</w:t>
            </w:r>
          </w:p>
        </w:tc>
        <w:tc>
          <w:tcPr>
            <w:tcW w:w="0" w:type="auto"/>
          </w:tcPr>
          <w:p w14:paraId="15E3405C" w14:textId="77777777" w:rsidR="00D45EF4" w:rsidRDefault="00000000">
            <w:pPr>
              <w:pStyle w:val="Compact"/>
            </w:pPr>
            <w:r>
              <w:t>3561.4</w:t>
            </w:r>
          </w:p>
        </w:tc>
        <w:tc>
          <w:tcPr>
            <w:tcW w:w="0" w:type="auto"/>
          </w:tcPr>
          <w:p w14:paraId="4A28B854" w14:textId="77777777" w:rsidR="00D45EF4" w:rsidRDefault="00000000">
            <w:pPr>
              <w:pStyle w:val="Compact"/>
            </w:pPr>
            <w:r>
              <w:t>-2.6</w:t>
            </w:r>
          </w:p>
        </w:tc>
      </w:tr>
      <w:tr w:rsidR="00D45EF4" w14:paraId="1AD4914A" w14:textId="77777777">
        <w:tc>
          <w:tcPr>
            <w:tcW w:w="0" w:type="auto"/>
          </w:tcPr>
          <w:p w14:paraId="4A197021" w14:textId="77777777" w:rsidR="00D45EF4" w:rsidRDefault="00000000">
            <w:pPr>
              <w:pStyle w:val="Compact"/>
            </w:pPr>
            <w:r>
              <w:t>BIC (N = 3200)</w:t>
            </w:r>
          </w:p>
        </w:tc>
        <w:tc>
          <w:tcPr>
            <w:tcW w:w="0" w:type="auto"/>
          </w:tcPr>
          <w:p w14:paraId="4CEF7FB9" w14:textId="77777777" w:rsidR="00D45EF4" w:rsidRDefault="00000000">
            <w:pPr>
              <w:pStyle w:val="Compact"/>
            </w:pPr>
            <w:r>
              <w:t>3598.5</w:t>
            </w:r>
          </w:p>
        </w:tc>
        <w:tc>
          <w:tcPr>
            <w:tcW w:w="0" w:type="auto"/>
          </w:tcPr>
          <w:p w14:paraId="1B03BEF7" w14:textId="77777777" w:rsidR="00D45EF4" w:rsidRDefault="00000000">
            <w:pPr>
              <w:pStyle w:val="Compact"/>
            </w:pPr>
            <w:r>
              <w:t>3602.0</w:t>
            </w:r>
          </w:p>
        </w:tc>
        <w:tc>
          <w:tcPr>
            <w:tcW w:w="0" w:type="auto"/>
          </w:tcPr>
          <w:p w14:paraId="79C1CCA3" w14:textId="77777777" w:rsidR="00D45EF4" w:rsidRDefault="00000000">
            <w:pPr>
              <w:pStyle w:val="Compact"/>
            </w:pPr>
            <w:r>
              <w:t>+3.5</w:t>
            </w:r>
          </w:p>
        </w:tc>
      </w:tr>
      <w:tr w:rsidR="00D45EF4" w14:paraId="0CB5323E" w14:textId="77777777">
        <w:tc>
          <w:tcPr>
            <w:tcW w:w="0" w:type="auto"/>
          </w:tcPr>
          <w:p w14:paraId="67D671F6" w14:textId="77777777" w:rsidR="00D45EF4" w:rsidRDefault="00000000">
            <w:pPr>
              <w:pStyle w:val="Compact"/>
            </w:pPr>
            <w:r>
              <w:t>ln Z (PolyChord)</w:t>
            </w:r>
          </w:p>
        </w:tc>
        <w:tc>
          <w:tcPr>
            <w:tcW w:w="0" w:type="auto"/>
          </w:tcPr>
          <w:p w14:paraId="28DEDF68" w14:textId="77777777" w:rsidR="00D45EF4" w:rsidRDefault="00000000">
            <w:pPr>
              <w:pStyle w:val="Compact"/>
            </w:pPr>
            <w:r>
              <w:t>-1586.2 ± 0.4</w:t>
            </w:r>
          </w:p>
        </w:tc>
        <w:tc>
          <w:tcPr>
            <w:tcW w:w="0" w:type="auto"/>
          </w:tcPr>
          <w:p w14:paraId="092D67FC" w14:textId="77777777" w:rsidR="00D45EF4" w:rsidRDefault="00000000">
            <w:pPr>
              <w:pStyle w:val="Compact"/>
            </w:pPr>
            <w:r>
              <w:t>-1583.9 ± 0.4</w:t>
            </w:r>
          </w:p>
        </w:tc>
        <w:tc>
          <w:tcPr>
            <w:tcW w:w="0" w:type="auto"/>
          </w:tcPr>
          <w:p w14:paraId="2DFAE1CD" w14:textId="77777777" w:rsidR="00D45EF4" w:rsidRDefault="00000000">
            <w:pPr>
              <w:pStyle w:val="Compact"/>
            </w:pPr>
            <w:r>
              <w:t>+2.3</w:t>
            </w:r>
          </w:p>
        </w:tc>
      </w:tr>
    </w:tbl>
    <w:p w14:paraId="1E5533EA" w14:textId="77777777" w:rsidR="00D45EF4" w:rsidRDefault="00000000">
      <w:pPr>
        <w:pStyle w:val="Nagwek2"/>
      </w:pPr>
      <w:bookmarkStart w:id="16" w:name="Xd1d7a82f967567f093c906b3f1a34eaa0aab3fc"/>
      <w:bookmarkEnd w:id="14"/>
      <w:bookmarkEnd w:id="15"/>
      <w:r>
        <w:t>12. Frame independence and theoretical limitations</w:t>
      </w:r>
    </w:p>
    <w:p w14:paraId="45B5651C" w14:textId="77777777" w:rsidR="00D45EF4" w:rsidRDefault="00000000">
      <w:pPr>
        <w:pStyle w:val="FirstParagraph"/>
      </w:pPr>
      <w:r>
        <w:t xml:space="preserve">Observables were computed in both the Jordan and Einstein frames to ensure frame independence: the scalar power spectrum, bispectrum phases, and tensor ratios agree once the Mukhanov–Sasaki variable is canonically normalized, validating that the geometric running of \(F(\chi)\) does not introduce gauge artifacts. Residual theoretical uncertainties stem from (i) the EFT cutoff \(\Lambda \gtrsim 10 M_{\text{Pl}}\), above which higher-derivative operators such as \(R^2\) and \((\partial \chi)^4\) must remain suppressed; (ii) the assumption that the heavy multiplet \Psi stays in its adiabatic vacuum across the threshold; and (iii) degeneracies between \(\beta\) and reheating parameters when \(w_{\text{reh}}\) departs strongly from zero. Additional consistency checks with swampland-inspired bounds—such as ensuring \(|F’/F| &lt; \mathcal{O}(1)\) across \(\Delta \chi \lesssim M_{\text{Pl}}\) and satisfying Weak Gravity Conjecture-inspired charge-to-mass ratios for the heavy multiplet—are met by the Gaussian threshold but must be re-verified once higher-loop corrections are included. We explicitly tracked the RG flow of \(F(\chi)\) up to two loops and found that threshold corrections shift \(\beta\) by less than 5%, yet non-decoupling effects from light fermions could become relevant if the screening sector couples to the Standard Model. These caveats can be reduced by adding high-precision polarization data (to tighten \(\chi^2\) posteriors) and by embedding the </w:t>
      </w:r>
      <w:r>
        <w:lastRenderedPageBreak/>
        <w:t>active screen in explicit asymptotically safe completions where the loop hierarchy is manifest.</w:t>
      </w:r>
    </w:p>
    <w:p w14:paraId="5AF4B97D" w14:textId="77777777" w:rsidR="00D45EF4" w:rsidRDefault="00000000">
      <w:pPr>
        <w:pStyle w:val="Nagwek2"/>
      </w:pPr>
      <w:bookmarkStart w:id="17" w:name="numerical-validation-and-data"/>
      <w:bookmarkEnd w:id="16"/>
      <w:r>
        <w:t>13. Numerical validation and data</w:t>
      </w:r>
    </w:p>
    <w:p w14:paraId="797CD3D6" w14:textId="77777777" w:rsidR="00D45EF4" w:rsidRDefault="00000000">
      <w:pPr>
        <w:pStyle w:val="FirstParagraph"/>
      </w:pPr>
      <w:r>
        <w:t>A parameter sweep of 252 samples in \((\beta, \Delta, \chi_0)\) quantifies the observables (Table 1). Band-averaged trends of \(n_s(\beta)\) and \(r(\beta)\) appear in Table 2, while the lowest-\(r\) configurations are listed in Table 3. The smallest tensors reach \(\mathcal{O}(10^{-8})\) without destabilizing \(n_s\), evidencing the screening fixed point, although only the entries with \(n_s \approx 0.96\) remain inside the Planck24/ACT posterior discussed above.</w:t>
      </w:r>
    </w:p>
    <w:p w14:paraId="44D7BA5E" w14:textId="77777777" w:rsidR="00D45EF4" w:rsidRDefault="00000000">
      <w:pPr>
        <w:pStyle w:val="Nagwek3"/>
      </w:pPr>
      <w:bookmarkStart w:id="18" w:name="table-1.-global-scan-statistics"/>
      <w:r>
        <w:t>Table 1. Global scan statistics</w:t>
      </w:r>
    </w:p>
    <w:tbl>
      <w:tblPr>
        <w:tblStyle w:val="Table"/>
        <w:tblW w:w="0" w:type="auto"/>
        <w:tblLook w:val="0020" w:firstRow="1" w:lastRow="0" w:firstColumn="0" w:lastColumn="0" w:noHBand="0" w:noVBand="0"/>
      </w:tblPr>
      <w:tblGrid>
        <w:gridCol w:w="2204"/>
        <w:gridCol w:w="1127"/>
      </w:tblGrid>
      <w:tr w:rsidR="00D45EF4" w14:paraId="198DAFF7"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0" w:type="auto"/>
          </w:tcPr>
          <w:p w14:paraId="23158B48" w14:textId="77777777" w:rsidR="00D45EF4" w:rsidRDefault="00000000">
            <w:pPr>
              <w:pStyle w:val="Compact"/>
            </w:pPr>
            <w:r>
              <w:t>Quantity</w:t>
            </w:r>
          </w:p>
        </w:tc>
        <w:tc>
          <w:tcPr>
            <w:tcW w:w="0" w:type="auto"/>
          </w:tcPr>
          <w:p w14:paraId="0C8D088D" w14:textId="77777777" w:rsidR="00D45EF4" w:rsidRDefault="00000000">
            <w:pPr>
              <w:pStyle w:val="Compact"/>
            </w:pPr>
            <w:r>
              <w:t>Value</w:t>
            </w:r>
          </w:p>
        </w:tc>
      </w:tr>
      <w:tr w:rsidR="00D45EF4" w14:paraId="4C3980B3" w14:textId="77777777">
        <w:tc>
          <w:tcPr>
            <w:tcW w:w="0" w:type="auto"/>
          </w:tcPr>
          <w:p w14:paraId="6BA446AF" w14:textId="77777777" w:rsidR="00D45EF4" w:rsidRDefault="00000000">
            <w:pPr>
              <w:pStyle w:val="Compact"/>
            </w:pPr>
            <w:r>
              <w:t>Number of samples</w:t>
            </w:r>
          </w:p>
        </w:tc>
        <w:tc>
          <w:tcPr>
            <w:tcW w:w="0" w:type="auto"/>
          </w:tcPr>
          <w:p w14:paraId="18388B02" w14:textId="77777777" w:rsidR="00D45EF4" w:rsidRDefault="00000000">
            <w:pPr>
              <w:pStyle w:val="Compact"/>
            </w:pPr>
            <w:r>
              <w:t>252</w:t>
            </w:r>
          </w:p>
        </w:tc>
      </w:tr>
      <w:tr w:rsidR="00D45EF4" w14:paraId="487F9BAC" w14:textId="77777777">
        <w:tc>
          <w:tcPr>
            <w:tcW w:w="0" w:type="auto"/>
          </w:tcPr>
          <w:p w14:paraId="550B3CFA" w14:textId="77777777" w:rsidR="00D45EF4" w:rsidRDefault="00000000">
            <w:pPr>
              <w:pStyle w:val="Compact"/>
            </w:pPr>
            <w:r>
              <w:t>n_s^{min}</w:t>
            </w:r>
          </w:p>
        </w:tc>
        <w:tc>
          <w:tcPr>
            <w:tcW w:w="0" w:type="auto"/>
          </w:tcPr>
          <w:p w14:paraId="2B2F1684" w14:textId="77777777" w:rsidR="00D45EF4" w:rsidRDefault="00000000">
            <w:pPr>
              <w:pStyle w:val="Compact"/>
            </w:pPr>
            <w:r>
              <w:t>0.4812</w:t>
            </w:r>
          </w:p>
        </w:tc>
      </w:tr>
      <w:tr w:rsidR="00D45EF4" w14:paraId="786DB769" w14:textId="77777777">
        <w:tc>
          <w:tcPr>
            <w:tcW w:w="0" w:type="auto"/>
          </w:tcPr>
          <w:p w14:paraId="6283E787" w14:textId="77777777" w:rsidR="00D45EF4" w:rsidRDefault="00000000">
            <w:pPr>
              <w:pStyle w:val="Compact"/>
            </w:pPr>
            <w:r>
              <w:t>n_s^{max}</w:t>
            </w:r>
          </w:p>
        </w:tc>
        <w:tc>
          <w:tcPr>
            <w:tcW w:w="0" w:type="auto"/>
          </w:tcPr>
          <w:p w14:paraId="79562245" w14:textId="77777777" w:rsidR="00D45EF4" w:rsidRDefault="00000000">
            <w:pPr>
              <w:pStyle w:val="Compact"/>
            </w:pPr>
            <w:r>
              <w:t>1.4991</w:t>
            </w:r>
          </w:p>
        </w:tc>
      </w:tr>
      <w:tr w:rsidR="00D45EF4" w14:paraId="37699456" w14:textId="77777777">
        <w:tc>
          <w:tcPr>
            <w:tcW w:w="0" w:type="auto"/>
          </w:tcPr>
          <w:p w14:paraId="24222B36" w14:textId="77777777" w:rsidR="00D45EF4" w:rsidRDefault="00000000">
            <w:pPr>
              <w:pStyle w:val="Compact"/>
            </w:pPr>
            <w:r>
              <w:t>n_s^{avg}</w:t>
            </w:r>
          </w:p>
        </w:tc>
        <w:tc>
          <w:tcPr>
            <w:tcW w:w="0" w:type="auto"/>
          </w:tcPr>
          <w:p w14:paraId="4DE07807" w14:textId="77777777" w:rsidR="00D45EF4" w:rsidRDefault="00000000">
            <w:pPr>
              <w:pStyle w:val="Compact"/>
            </w:pPr>
            <w:r>
              <w:t>1.0148</w:t>
            </w:r>
          </w:p>
        </w:tc>
      </w:tr>
      <w:tr w:rsidR="00D45EF4" w14:paraId="5F170EEC" w14:textId="77777777">
        <w:tc>
          <w:tcPr>
            <w:tcW w:w="0" w:type="auto"/>
          </w:tcPr>
          <w:p w14:paraId="686C8161" w14:textId="77777777" w:rsidR="00D45EF4" w:rsidRDefault="00000000">
            <w:pPr>
              <w:pStyle w:val="Compact"/>
            </w:pPr>
            <w:r>
              <w:t>r^{min}</w:t>
            </w:r>
          </w:p>
        </w:tc>
        <w:tc>
          <w:tcPr>
            <w:tcW w:w="0" w:type="auto"/>
          </w:tcPr>
          <w:p w14:paraId="25AC53C9" w14:textId="77777777" w:rsidR="00D45EF4" w:rsidRDefault="00000000">
            <w:pPr>
              <w:pStyle w:val="Compact"/>
            </w:pPr>
            <w:r>
              <w:t>2.70e-08</w:t>
            </w:r>
          </w:p>
        </w:tc>
      </w:tr>
      <w:tr w:rsidR="00D45EF4" w14:paraId="6B79ED12" w14:textId="77777777">
        <w:tc>
          <w:tcPr>
            <w:tcW w:w="0" w:type="auto"/>
          </w:tcPr>
          <w:p w14:paraId="12A469D3" w14:textId="77777777" w:rsidR="00D45EF4" w:rsidRDefault="00000000">
            <w:pPr>
              <w:pStyle w:val="Compact"/>
            </w:pPr>
            <w:r>
              <w:t>r^{max}</w:t>
            </w:r>
          </w:p>
        </w:tc>
        <w:tc>
          <w:tcPr>
            <w:tcW w:w="0" w:type="auto"/>
          </w:tcPr>
          <w:p w14:paraId="487C8151" w14:textId="77777777" w:rsidR="00D45EF4" w:rsidRDefault="00000000">
            <w:pPr>
              <w:pStyle w:val="Compact"/>
            </w:pPr>
            <w:r>
              <w:t>0.1702</w:t>
            </w:r>
          </w:p>
        </w:tc>
      </w:tr>
      <w:tr w:rsidR="00D45EF4" w14:paraId="73F521B1" w14:textId="77777777">
        <w:tc>
          <w:tcPr>
            <w:tcW w:w="0" w:type="auto"/>
          </w:tcPr>
          <w:p w14:paraId="3F88B3EA" w14:textId="77777777" w:rsidR="00D45EF4" w:rsidRDefault="00000000">
            <w:pPr>
              <w:pStyle w:val="Compact"/>
            </w:pPr>
            <w:r>
              <w:t>r^{avg}</w:t>
            </w:r>
          </w:p>
        </w:tc>
        <w:tc>
          <w:tcPr>
            <w:tcW w:w="0" w:type="auto"/>
          </w:tcPr>
          <w:p w14:paraId="7A6AF2E5" w14:textId="77777777" w:rsidR="00D45EF4" w:rsidRDefault="00000000">
            <w:pPr>
              <w:pStyle w:val="Compact"/>
            </w:pPr>
            <w:r>
              <w:t>0.0111</w:t>
            </w:r>
          </w:p>
        </w:tc>
      </w:tr>
    </w:tbl>
    <w:p w14:paraId="1E1A6FB9" w14:textId="77777777" w:rsidR="00D45EF4" w:rsidRDefault="00000000">
      <w:pPr>
        <w:pStyle w:val="Nagwek3"/>
      </w:pPr>
      <w:bookmarkStart w:id="19" w:name="Xb4a60c09d7fb8e99b2d7b5df7ebea3da4098efd"/>
      <w:bookmarkEnd w:id="18"/>
      <w:r>
        <w:t>Table 2. Band-averaged observables for representative β values</w:t>
      </w:r>
    </w:p>
    <w:tbl>
      <w:tblPr>
        <w:tblStyle w:val="Table"/>
        <w:tblW w:w="0" w:type="auto"/>
        <w:tblLook w:val="0020" w:firstRow="1" w:lastRow="0" w:firstColumn="0" w:lastColumn="0" w:noHBand="0" w:noVBand="0"/>
      </w:tblPr>
      <w:tblGrid>
        <w:gridCol w:w="797"/>
        <w:gridCol w:w="930"/>
        <w:gridCol w:w="930"/>
        <w:gridCol w:w="1127"/>
        <w:gridCol w:w="1070"/>
        <w:gridCol w:w="998"/>
      </w:tblGrid>
      <w:tr w:rsidR="00D45EF4" w14:paraId="0DAA3163"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0" w:type="auto"/>
          </w:tcPr>
          <w:p w14:paraId="773CDFC0" w14:textId="77777777" w:rsidR="00D45EF4" w:rsidRDefault="00000000">
            <w:pPr>
              <w:pStyle w:val="Compact"/>
            </w:pPr>
            <w:r>
              <w:t>β</w:t>
            </w:r>
          </w:p>
        </w:tc>
        <w:tc>
          <w:tcPr>
            <w:tcW w:w="0" w:type="auto"/>
          </w:tcPr>
          <w:p w14:paraId="7560B6E4" w14:textId="77777777" w:rsidR="00D45EF4" w:rsidRDefault="00000000">
            <w:pPr>
              <w:pStyle w:val="Compact"/>
            </w:pPr>
            <w:r>
              <w:t>⟨n_s⟩</w:t>
            </w:r>
          </w:p>
        </w:tc>
        <w:tc>
          <w:tcPr>
            <w:tcW w:w="0" w:type="auto"/>
          </w:tcPr>
          <w:p w14:paraId="1A5549A2" w14:textId="77777777" w:rsidR="00D45EF4" w:rsidRDefault="00000000">
            <w:pPr>
              <w:pStyle w:val="Compact"/>
            </w:pPr>
            <w:r>
              <w:t>⟨r⟩</w:t>
            </w:r>
          </w:p>
        </w:tc>
        <w:tc>
          <w:tcPr>
            <w:tcW w:w="0" w:type="auto"/>
          </w:tcPr>
          <w:p w14:paraId="54F6889E" w14:textId="77777777" w:rsidR="00D45EF4" w:rsidRDefault="00000000">
            <w:pPr>
              <w:pStyle w:val="Compact"/>
            </w:pPr>
            <w:r>
              <w:t>r_min</w:t>
            </w:r>
          </w:p>
        </w:tc>
        <w:tc>
          <w:tcPr>
            <w:tcW w:w="0" w:type="auto"/>
          </w:tcPr>
          <w:p w14:paraId="10E3FB27" w14:textId="77777777" w:rsidR="00D45EF4" w:rsidRDefault="00000000">
            <w:pPr>
              <w:pStyle w:val="Compact"/>
            </w:pPr>
            <w:r>
              <w:t>χ₀ range</w:t>
            </w:r>
          </w:p>
        </w:tc>
        <w:tc>
          <w:tcPr>
            <w:tcW w:w="0" w:type="auto"/>
          </w:tcPr>
          <w:p w14:paraId="1526D446" w14:textId="77777777" w:rsidR="00D45EF4" w:rsidRDefault="00000000">
            <w:pPr>
              <w:pStyle w:val="Compact"/>
            </w:pPr>
            <w:r>
              <w:t>Δ range</w:t>
            </w:r>
          </w:p>
        </w:tc>
      </w:tr>
      <w:tr w:rsidR="00D45EF4" w14:paraId="44EC1725" w14:textId="77777777">
        <w:tc>
          <w:tcPr>
            <w:tcW w:w="0" w:type="auto"/>
          </w:tcPr>
          <w:p w14:paraId="55356008" w14:textId="77777777" w:rsidR="00D45EF4" w:rsidRDefault="00000000">
            <w:pPr>
              <w:pStyle w:val="Compact"/>
            </w:pPr>
            <w:r>
              <w:t>0.000</w:t>
            </w:r>
          </w:p>
        </w:tc>
        <w:tc>
          <w:tcPr>
            <w:tcW w:w="0" w:type="auto"/>
          </w:tcPr>
          <w:p w14:paraId="7BB1EE2A" w14:textId="77777777" w:rsidR="00D45EF4" w:rsidRDefault="00000000">
            <w:pPr>
              <w:pStyle w:val="Compact"/>
            </w:pPr>
            <w:r>
              <w:t>0.9611</w:t>
            </w:r>
          </w:p>
        </w:tc>
        <w:tc>
          <w:tcPr>
            <w:tcW w:w="0" w:type="auto"/>
          </w:tcPr>
          <w:p w14:paraId="740ACA99" w14:textId="77777777" w:rsidR="00D45EF4" w:rsidRDefault="00000000">
            <w:pPr>
              <w:pStyle w:val="Compact"/>
            </w:pPr>
            <w:r>
              <w:t>0.0041</w:t>
            </w:r>
          </w:p>
        </w:tc>
        <w:tc>
          <w:tcPr>
            <w:tcW w:w="0" w:type="auto"/>
          </w:tcPr>
          <w:p w14:paraId="5D0B4DD6" w14:textId="77777777" w:rsidR="00D45EF4" w:rsidRDefault="00000000">
            <w:pPr>
              <w:pStyle w:val="Compact"/>
            </w:pPr>
            <w:r>
              <w:t>4.08e-03</w:t>
            </w:r>
          </w:p>
        </w:tc>
        <w:tc>
          <w:tcPr>
            <w:tcW w:w="0" w:type="auto"/>
          </w:tcPr>
          <w:p w14:paraId="15B5E722" w14:textId="77777777" w:rsidR="00D45EF4" w:rsidRDefault="00000000">
            <w:pPr>
              <w:pStyle w:val="Compact"/>
            </w:pPr>
            <w:r>
              <w:t>5.0–6.0</w:t>
            </w:r>
          </w:p>
        </w:tc>
        <w:tc>
          <w:tcPr>
            <w:tcW w:w="0" w:type="auto"/>
          </w:tcPr>
          <w:p w14:paraId="7E70B566" w14:textId="77777777" w:rsidR="00D45EF4" w:rsidRDefault="00000000">
            <w:pPr>
              <w:pStyle w:val="Compact"/>
            </w:pPr>
            <w:r>
              <w:t>0.5–3.0</w:t>
            </w:r>
          </w:p>
        </w:tc>
      </w:tr>
      <w:tr w:rsidR="00D45EF4" w14:paraId="7517319E" w14:textId="77777777">
        <w:tc>
          <w:tcPr>
            <w:tcW w:w="0" w:type="auto"/>
          </w:tcPr>
          <w:p w14:paraId="3040C17B" w14:textId="77777777" w:rsidR="00D45EF4" w:rsidRDefault="00000000">
            <w:pPr>
              <w:pStyle w:val="Compact"/>
            </w:pPr>
            <w:r>
              <w:t>0.010</w:t>
            </w:r>
          </w:p>
        </w:tc>
        <w:tc>
          <w:tcPr>
            <w:tcW w:w="0" w:type="auto"/>
          </w:tcPr>
          <w:p w14:paraId="3F4B59C2" w14:textId="77777777" w:rsidR="00D45EF4" w:rsidRDefault="00000000">
            <w:pPr>
              <w:pStyle w:val="Compact"/>
            </w:pPr>
            <w:r>
              <w:t>0.9885</w:t>
            </w:r>
          </w:p>
        </w:tc>
        <w:tc>
          <w:tcPr>
            <w:tcW w:w="0" w:type="auto"/>
          </w:tcPr>
          <w:p w14:paraId="48BF4BA8" w14:textId="77777777" w:rsidR="00D45EF4" w:rsidRDefault="00000000">
            <w:pPr>
              <w:pStyle w:val="Compact"/>
            </w:pPr>
            <w:r>
              <w:t>0.0047</w:t>
            </w:r>
          </w:p>
        </w:tc>
        <w:tc>
          <w:tcPr>
            <w:tcW w:w="0" w:type="auto"/>
          </w:tcPr>
          <w:p w14:paraId="6DC64040" w14:textId="77777777" w:rsidR="00D45EF4" w:rsidRDefault="00000000">
            <w:pPr>
              <w:pStyle w:val="Compact"/>
            </w:pPr>
            <w:r>
              <w:t>2.47e-04</w:t>
            </w:r>
          </w:p>
        </w:tc>
        <w:tc>
          <w:tcPr>
            <w:tcW w:w="0" w:type="auto"/>
          </w:tcPr>
          <w:p w14:paraId="699BB761" w14:textId="77777777" w:rsidR="00D45EF4" w:rsidRDefault="00000000">
            <w:pPr>
              <w:pStyle w:val="Compact"/>
            </w:pPr>
            <w:r>
              <w:t>5.0–6.0</w:t>
            </w:r>
          </w:p>
        </w:tc>
        <w:tc>
          <w:tcPr>
            <w:tcW w:w="0" w:type="auto"/>
          </w:tcPr>
          <w:p w14:paraId="15D7063E" w14:textId="77777777" w:rsidR="00D45EF4" w:rsidRDefault="00000000">
            <w:pPr>
              <w:pStyle w:val="Compact"/>
            </w:pPr>
            <w:r>
              <w:t>0.5–3.0</w:t>
            </w:r>
          </w:p>
        </w:tc>
      </w:tr>
      <w:tr w:rsidR="00D45EF4" w14:paraId="1FD9B1FB" w14:textId="77777777">
        <w:tc>
          <w:tcPr>
            <w:tcW w:w="0" w:type="auto"/>
          </w:tcPr>
          <w:p w14:paraId="15D763FA" w14:textId="77777777" w:rsidR="00D45EF4" w:rsidRDefault="00000000">
            <w:pPr>
              <w:pStyle w:val="Compact"/>
            </w:pPr>
            <w:r>
              <w:t>0.020</w:t>
            </w:r>
          </w:p>
        </w:tc>
        <w:tc>
          <w:tcPr>
            <w:tcW w:w="0" w:type="auto"/>
          </w:tcPr>
          <w:p w14:paraId="03231EC1" w14:textId="77777777" w:rsidR="00D45EF4" w:rsidRDefault="00000000">
            <w:pPr>
              <w:pStyle w:val="Compact"/>
            </w:pPr>
            <w:r>
              <w:t>1.0153</w:t>
            </w:r>
          </w:p>
        </w:tc>
        <w:tc>
          <w:tcPr>
            <w:tcW w:w="0" w:type="auto"/>
          </w:tcPr>
          <w:p w14:paraId="755F76AD" w14:textId="77777777" w:rsidR="00D45EF4" w:rsidRDefault="00000000">
            <w:pPr>
              <w:pStyle w:val="Compact"/>
            </w:pPr>
            <w:r>
              <w:t>0.0087</w:t>
            </w:r>
          </w:p>
        </w:tc>
        <w:tc>
          <w:tcPr>
            <w:tcW w:w="0" w:type="auto"/>
          </w:tcPr>
          <w:p w14:paraId="6A58BD43" w14:textId="77777777" w:rsidR="00D45EF4" w:rsidRDefault="00000000">
            <w:pPr>
              <w:pStyle w:val="Compact"/>
            </w:pPr>
            <w:r>
              <w:t>1.21e-04</w:t>
            </w:r>
          </w:p>
        </w:tc>
        <w:tc>
          <w:tcPr>
            <w:tcW w:w="0" w:type="auto"/>
          </w:tcPr>
          <w:p w14:paraId="6961B231" w14:textId="77777777" w:rsidR="00D45EF4" w:rsidRDefault="00000000">
            <w:pPr>
              <w:pStyle w:val="Compact"/>
            </w:pPr>
            <w:r>
              <w:t>5.0–6.0</w:t>
            </w:r>
          </w:p>
        </w:tc>
        <w:tc>
          <w:tcPr>
            <w:tcW w:w="0" w:type="auto"/>
          </w:tcPr>
          <w:p w14:paraId="63FDEF7E" w14:textId="77777777" w:rsidR="00D45EF4" w:rsidRDefault="00000000">
            <w:pPr>
              <w:pStyle w:val="Compact"/>
            </w:pPr>
            <w:r>
              <w:t>0.5–3.0</w:t>
            </w:r>
          </w:p>
        </w:tc>
      </w:tr>
      <w:tr w:rsidR="00D45EF4" w14:paraId="78D2FE5B" w14:textId="77777777">
        <w:tc>
          <w:tcPr>
            <w:tcW w:w="0" w:type="auto"/>
          </w:tcPr>
          <w:p w14:paraId="7D8DB1A9" w14:textId="77777777" w:rsidR="00D45EF4" w:rsidRDefault="00000000">
            <w:pPr>
              <w:pStyle w:val="Compact"/>
            </w:pPr>
            <w:r>
              <w:t>0.030</w:t>
            </w:r>
          </w:p>
        </w:tc>
        <w:tc>
          <w:tcPr>
            <w:tcW w:w="0" w:type="auto"/>
          </w:tcPr>
          <w:p w14:paraId="3FE5AB89" w14:textId="77777777" w:rsidR="00D45EF4" w:rsidRDefault="00000000">
            <w:pPr>
              <w:pStyle w:val="Compact"/>
            </w:pPr>
            <w:r>
              <w:t>1.0415</w:t>
            </w:r>
          </w:p>
        </w:tc>
        <w:tc>
          <w:tcPr>
            <w:tcW w:w="0" w:type="auto"/>
          </w:tcPr>
          <w:p w14:paraId="68F28C72" w14:textId="77777777" w:rsidR="00D45EF4" w:rsidRDefault="00000000">
            <w:pPr>
              <w:pStyle w:val="Compact"/>
            </w:pPr>
            <w:r>
              <w:t>0.0160</w:t>
            </w:r>
          </w:p>
        </w:tc>
        <w:tc>
          <w:tcPr>
            <w:tcW w:w="0" w:type="auto"/>
          </w:tcPr>
          <w:p w14:paraId="3C02DDE9" w14:textId="77777777" w:rsidR="00D45EF4" w:rsidRDefault="00000000">
            <w:pPr>
              <w:pStyle w:val="Compact"/>
            </w:pPr>
            <w:r>
              <w:t>1.10e-04</w:t>
            </w:r>
          </w:p>
        </w:tc>
        <w:tc>
          <w:tcPr>
            <w:tcW w:w="0" w:type="auto"/>
          </w:tcPr>
          <w:p w14:paraId="55080E15" w14:textId="77777777" w:rsidR="00D45EF4" w:rsidRDefault="00000000">
            <w:pPr>
              <w:pStyle w:val="Compact"/>
            </w:pPr>
            <w:r>
              <w:t>5.0–6.0</w:t>
            </w:r>
          </w:p>
        </w:tc>
        <w:tc>
          <w:tcPr>
            <w:tcW w:w="0" w:type="auto"/>
          </w:tcPr>
          <w:p w14:paraId="31111EAF" w14:textId="77777777" w:rsidR="00D45EF4" w:rsidRDefault="00000000">
            <w:pPr>
              <w:pStyle w:val="Compact"/>
            </w:pPr>
            <w:r>
              <w:t>0.5–3.0</w:t>
            </w:r>
          </w:p>
        </w:tc>
      </w:tr>
      <w:tr w:rsidR="00D45EF4" w14:paraId="6740EE06" w14:textId="77777777">
        <w:tc>
          <w:tcPr>
            <w:tcW w:w="0" w:type="auto"/>
          </w:tcPr>
          <w:p w14:paraId="5174E0A5" w14:textId="77777777" w:rsidR="00D45EF4" w:rsidRDefault="00000000">
            <w:pPr>
              <w:pStyle w:val="Compact"/>
            </w:pPr>
            <w:r>
              <w:t>0.040</w:t>
            </w:r>
          </w:p>
        </w:tc>
        <w:tc>
          <w:tcPr>
            <w:tcW w:w="0" w:type="auto"/>
          </w:tcPr>
          <w:p w14:paraId="0BDAEFE3" w14:textId="77777777" w:rsidR="00D45EF4" w:rsidRDefault="00000000">
            <w:pPr>
              <w:pStyle w:val="Compact"/>
            </w:pPr>
            <w:r>
              <w:t>1.0671</w:t>
            </w:r>
          </w:p>
        </w:tc>
        <w:tc>
          <w:tcPr>
            <w:tcW w:w="0" w:type="auto"/>
          </w:tcPr>
          <w:p w14:paraId="6931980D" w14:textId="77777777" w:rsidR="00D45EF4" w:rsidRDefault="00000000">
            <w:pPr>
              <w:pStyle w:val="Compact"/>
            </w:pPr>
            <w:r>
              <w:t>0.0263</w:t>
            </w:r>
          </w:p>
        </w:tc>
        <w:tc>
          <w:tcPr>
            <w:tcW w:w="0" w:type="auto"/>
          </w:tcPr>
          <w:p w14:paraId="2EA31A98" w14:textId="77777777" w:rsidR="00D45EF4" w:rsidRDefault="00000000">
            <w:pPr>
              <w:pStyle w:val="Compact"/>
            </w:pPr>
            <w:r>
              <w:t>4.45e-05</w:t>
            </w:r>
          </w:p>
        </w:tc>
        <w:tc>
          <w:tcPr>
            <w:tcW w:w="0" w:type="auto"/>
          </w:tcPr>
          <w:p w14:paraId="423FF3F6" w14:textId="77777777" w:rsidR="00D45EF4" w:rsidRDefault="00000000">
            <w:pPr>
              <w:pStyle w:val="Compact"/>
            </w:pPr>
            <w:r>
              <w:t>5.0–6.0</w:t>
            </w:r>
          </w:p>
        </w:tc>
        <w:tc>
          <w:tcPr>
            <w:tcW w:w="0" w:type="auto"/>
          </w:tcPr>
          <w:p w14:paraId="2A7F0DCB" w14:textId="77777777" w:rsidR="00D45EF4" w:rsidRDefault="00000000">
            <w:pPr>
              <w:pStyle w:val="Compact"/>
            </w:pPr>
            <w:r>
              <w:t>0.5–3.0</w:t>
            </w:r>
          </w:p>
        </w:tc>
      </w:tr>
    </w:tbl>
    <w:p w14:paraId="40F84EBF" w14:textId="77777777" w:rsidR="00D45EF4" w:rsidRDefault="00000000">
      <w:pPr>
        <w:pStyle w:val="Nagwek3"/>
      </w:pPr>
      <w:bookmarkStart w:id="20" w:name="X935d302404a1613e38dbb45f2d43b80f376b49d"/>
      <w:bookmarkEnd w:id="19"/>
      <w:r>
        <w:t>Table 3. Configurations with the lowest tensor amplitude r</w:t>
      </w:r>
    </w:p>
    <w:tbl>
      <w:tblPr>
        <w:tblStyle w:val="Table"/>
        <w:tblW w:w="0" w:type="auto"/>
        <w:tblLook w:val="0020" w:firstRow="1" w:lastRow="0" w:firstColumn="0" w:lastColumn="0" w:noHBand="0" w:noVBand="0"/>
      </w:tblPr>
      <w:tblGrid>
        <w:gridCol w:w="797"/>
        <w:gridCol w:w="531"/>
        <w:gridCol w:w="531"/>
        <w:gridCol w:w="930"/>
        <w:gridCol w:w="1127"/>
      </w:tblGrid>
      <w:tr w:rsidR="00D45EF4" w14:paraId="654D11B4" w14:textId="77777777" w:rsidTr="00D45EF4">
        <w:trPr>
          <w:cnfStyle w:val="100000000000" w:firstRow="1" w:lastRow="0" w:firstColumn="0" w:lastColumn="0" w:oddVBand="0" w:evenVBand="0" w:oddHBand="0" w:evenHBand="0" w:firstRowFirstColumn="0" w:firstRowLastColumn="0" w:lastRowFirstColumn="0" w:lastRowLastColumn="0"/>
          <w:tblHeader/>
        </w:trPr>
        <w:tc>
          <w:tcPr>
            <w:tcW w:w="0" w:type="auto"/>
          </w:tcPr>
          <w:p w14:paraId="10F1C4D0" w14:textId="77777777" w:rsidR="00D45EF4" w:rsidRDefault="00000000">
            <w:pPr>
              <w:pStyle w:val="Compact"/>
            </w:pPr>
            <w:r>
              <w:t>β</w:t>
            </w:r>
          </w:p>
        </w:tc>
        <w:tc>
          <w:tcPr>
            <w:tcW w:w="0" w:type="auto"/>
          </w:tcPr>
          <w:p w14:paraId="261827B8" w14:textId="77777777" w:rsidR="00D45EF4" w:rsidRDefault="00000000">
            <w:pPr>
              <w:pStyle w:val="Compact"/>
            </w:pPr>
            <w:r>
              <w:t>Δ</w:t>
            </w:r>
          </w:p>
        </w:tc>
        <w:tc>
          <w:tcPr>
            <w:tcW w:w="0" w:type="auto"/>
          </w:tcPr>
          <w:p w14:paraId="07B8949D" w14:textId="77777777" w:rsidR="00D45EF4" w:rsidRDefault="00000000">
            <w:pPr>
              <w:pStyle w:val="Compact"/>
            </w:pPr>
            <w:r>
              <w:t>χ₀</w:t>
            </w:r>
          </w:p>
        </w:tc>
        <w:tc>
          <w:tcPr>
            <w:tcW w:w="0" w:type="auto"/>
          </w:tcPr>
          <w:p w14:paraId="4F2A0B8C" w14:textId="77777777" w:rsidR="00D45EF4" w:rsidRDefault="00000000">
            <w:pPr>
              <w:pStyle w:val="Compact"/>
            </w:pPr>
            <w:r>
              <w:t>n_s</w:t>
            </w:r>
          </w:p>
        </w:tc>
        <w:tc>
          <w:tcPr>
            <w:tcW w:w="0" w:type="auto"/>
          </w:tcPr>
          <w:p w14:paraId="1B09E2C3" w14:textId="77777777" w:rsidR="00D45EF4" w:rsidRDefault="00000000">
            <w:pPr>
              <w:pStyle w:val="Compact"/>
            </w:pPr>
            <w:r>
              <w:t>r</w:t>
            </w:r>
          </w:p>
        </w:tc>
      </w:tr>
      <w:tr w:rsidR="00D45EF4" w14:paraId="115405EF" w14:textId="77777777">
        <w:tc>
          <w:tcPr>
            <w:tcW w:w="0" w:type="auto"/>
          </w:tcPr>
          <w:p w14:paraId="58AD0F70" w14:textId="77777777" w:rsidR="00D45EF4" w:rsidRDefault="00000000">
            <w:pPr>
              <w:pStyle w:val="Compact"/>
            </w:pPr>
            <w:r>
              <w:t>0.036</w:t>
            </w:r>
          </w:p>
        </w:tc>
        <w:tc>
          <w:tcPr>
            <w:tcW w:w="0" w:type="auto"/>
          </w:tcPr>
          <w:p w14:paraId="02362EDB" w14:textId="77777777" w:rsidR="00D45EF4" w:rsidRDefault="00000000">
            <w:pPr>
              <w:pStyle w:val="Compact"/>
            </w:pPr>
            <w:r>
              <w:t>2.0</w:t>
            </w:r>
          </w:p>
        </w:tc>
        <w:tc>
          <w:tcPr>
            <w:tcW w:w="0" w:type="auto"/>
          </w:tcPr>
          <w:p w14:paraId="73B04200" w14:textId="77777777" w:rsidR="00D45EF4" w:rsidRDefault="00000000">
            <w:pPr>
              <w:pStyle w:val="Compact"/>
            </w:pPr>
            <w:r>
              <w:t>6.0</w:t>
            </w:r>
          </w:p>
        </w:tc>
        <w:tc>
          <w:tcPr>
            <w:tcW w:w="0" w:type="auto"/>
          </w:tcPr>
          <w:p w14:paraId="4BE0EDEA" w14:textId="77777777" w:rsidR="00D45EF4" w:rsidRDefault="00000000">
            <w:pPr>
              <w:pStyle w:val="Compact"/>
            </w:pPr>
            <w:r>
              <w:t>1.0063</w:t>
            </w:r>
          </w:p>
        </w:tc>
        <w:tc>
          <w:tcPr>
            <w:tcW w:w="0" w:type="auto"/>
          </w:tcPr>
          <w:p w14:paraId="0F141AC7" w14:textId="77777777" w:rsidR="00D45EF4" w:rsidRDefault="00000000">
            <w:pPr>
              <w:pStyle w:val="Compact"/>
            </w:pPr>
            <w:r>
              <w:t>2.70e-08</w:t>
            </w:r>
          </w:p>
        </w:tc>
      </w:tr>
      <w:tr w:rsidR="00D45EF4" w14:paraId="2A0127AE" w14:textId="77777777">
        <w:tc>
          <w:tcPr>
            <w:tcW w:w="0" w:type="auto"/>
          </w:tcPr>
          <w:p w14:paraId="5F7459CB" w14:textId="77777777" w:rsidR="00D45EF4" w:rsidRDefault="00000000">
            <w:pPr>
              <w:pStyle w:val="Compact"/>
            </w:pPr>
            <w:r>
              <w:t>0.026</w:t>
            </w:r>
          </w:p>
        </w:tc>
        <w:tc>
          <w:tcPr>
            <w:tcW w:w="0" w:type="auto"/>
          </w:tcPr>
          <w:p w14:paraId="0DA5B4E3" w14:textId="77777777" w:rsidR="00D45EF4" w:rsidRDefault="00000000">
            <w:pPr>
              <w:pStyle w:val="Compact"/>
            </w:pPr>
            <w:r>
              <w:t>1.0</w:t>
            </w:r>
          </w:p>
        </w:tc>
        <w:tc>
          <w:tcPr>
            <w:tcW w:w="0" w:type="auto"/>
          </w:tcPr>
          <w:p w14:paraId="291930C6" w14:textId="77777777" w:rsidR="00D45EF4" w:rsidRDefault="00000000">
            <w:pPr>
              <w:pStyle w:val="Compact"/>
            </w:pPr>
            <w:r>
              <w:t>5.5</w:t>
            </w:r>
          </w:p>
        </w:tc>
        <w:tc>
          <w:tcPr>
            <w:tcW w:w="0" w:type="auto"/>
          </w:tcPr>
          <w:p w14:paraId="4670DA45" w14:textId="77777777" w:rsidR="00D45EF4" w:rsidRDefault="00000000">
            <w:pPr>
              <w:pStyle w:val="Compact"/>
            </w:pPr>
            <w:r>
              <w:t>1.1318</w:t>
            </w:r>
          </w:p>
        </w:tc>
        <w:tc>
          <w:tcPr>
            <w:tcW w:w="0" w:type="auto"/>
          </w:tcPr>
          <w:p w14:paraId="727267B3" w14:textId="77777777" w:rsidR="00D45EF4" w:rsidRDefault="00000000">
            <w:pPr>
              <w:pStyle w:val="Compact"/>
            </w:pPr>
            <w:r>
              <w:t>1.26e-06</w:t>
            </w:r>
          </w:p>
        </w:tc>
      </w:tr>
      <w:tr w:rsidR="00D45EF4" w14:paraId="7A8FA353" w14:textId="77777777">
        <w:tc>
          <w:tcPr>
            <w:tcW w:w="0" w:type="auto"/>
          </w:tcPr>
          <w:p w14:paraId="095BF630" w14:textId="77777777" w:rsidR="00D45EF4" w:rsidRDefault="00000000">
            <w:pPr>
              <w:pStyle w:val="Compact"/>
            </w:pPr>
            <w:r>
              <w:t>0.038</w:t>
            </w:r>
          </w:p>
        </w:tc>
        <w:tc>
          <w:tcPr>
            <w:tcW w:w="0" w:type="auto"/>
          </w:tcPr>
          <w:p w14:paraId="280036DA" w14:textId="77777777" w:rsidR="00D45EF4" w:rsidRDefault="00000000">
            <w:pPr>
              <w:pStyle w:val="Compact"/>
            </w:pPr>
            <w:r>
              <w:t>2.0</w:t>
            </w:r>
          </w:p>
        </w:tc>
        <w:tc>
          <w:tcPr>
            <w:tcW w:w="0" w:type="auto"/>
          </w:tcPr>
          <w:p w14:paraId="2B451181" w14:textId="77777777" w:rsidR="00D45EF4" w:rsidRDefault="00000000">
            <w:pPr>
              <w:pStyle w:val="Compact"/>
            </w:pPr>
            <w:r>
              <w:t>6.0</w:t>
            </w:r>
          </w:p>
        </w:tc>
        <w:tc>
          <w:tcPr>
            <w:tcW w:w="0" w:type="auto"/>
          </w:tcPr>
          <w:p w14:paraId="13BD4035" w14:textId="77777777" w:rsidR="00D45EF4" w:rsidRDefault="00000000">
            <w:pPr>
              <w:pStyle w:val="Compact"/>
            </w:pPr>
            <w:r>
              <w:t>1.0088</w:t>
            </w:r>
          </w:p>
        </w:tc>
        <w:tc>
          <w:tcPr>
            <w:tcW w:w="0" w:type="auto"/>
          </w:tcPr>
          <w:p w14:paraId="5E54E986" w14:textId="77777777" w:rsidR="00D45EF4" w:rsidRDefault="00000000">
            <w:pPr>
              <w:pStyle w:val="Compact"/>
            </w:pPr>
            <w:r>
              <w:t>1.06e-05</w:t>
            </w:r>
          </w:p>
        </w:tc>
      </w:tr>
      <w:tr w:rsidR="00D45EF4" w14:paraId="67D50865" w14:textId="77777777">
        <w:tc>
          <w:tcPr>
            <w:tcW w:w="0" w:type="auto"/>
          </w:tcPr>
          <w:p w14:paraId="7379ABB3" w14:textId="77777777" w:rsidR="00D45EF4" w:rsidRDefault="00000000">
            <w:pPr>
              <w:pStyle w:val="Compact"/>
            </w:pPr>
            <w:r>
              <w:t>0.014</w:t>
            </w:r>
          </w:p>
        </w:tc>
        <w:tc>
          <w:tcPr>
            <w:tcW w:w="0" w:type="auto"/>
          </w:tcPr>
          <w:p w14:paraId="1DBCD84F" w14:textId="77777777" w:rsidR="00D45EF4" w:rsidRDefault="00000000">
            <w:pPr>
              <w:pStyle w:val="Compact"/>
            </w:pPr>
            <w:r>
              <w:t>1.0</w:t>
            </w:r>
          </w:p>
        </w:tc>
        <w:tc>
          <w:tcPr>
            <w:tcW w:w="0" w:type="auto"/>
          </w:tcPr>
          <w:p w14:paraId="70C2FFED" w14:textId="77777777" w:rsidR="00D45EF4" w:rsidRDefault="00000000">
            <w:pPr>
              <w:pStyle w:val="Compact"/>
            </w:pPr>
            <w:r>
              <w:t>6.0</w:t>
            </w:r>
          </w:p>
        </w:tc>
        <w:tc>
          <w:tcPr>
            <w:tcW w:w="0" w:type="auto"/>
          </w:tcPr>
          <w:p w14:paraId="03E10DE7" w14:textId="77777777" w:rsidR="00D45EF4" w:rsidRDefault="00000000">
            <w:pPr>
              <w:pStyle w:val="Compact"/>
            </w:pPr>
            <w:r>
              <w:t>0.9561</w:t>
            </w:r>
          </w:p>
        </w:tc>
        <w:tc>
          <w:tcPr>
            <w:tcW w:w="0" w:type="auto"/>
          </w:tcPr>
          <w:p w14:paraId="6BDF127C" w14:textId="77777777" w:rsidR="00D45EF4" w:rsidRDefault="00000000">
            <w:pPr>
              <w:pStyle w:val="Compact"/>
            </w:pPr>
            <w:r>
              <w:t>1.15e-05</w:t>
            </w:r>
          </w:p>
        </w:tc>
      </w:tr>
      <w:tr w:rsidR="00D45EF4" w14:paraId="28F34C9B" w14:textId="77777777">
        <w:tc>
          <w:tcPr>
            <w:tcW w:w="0" w:type="auto"/>
          </w:tcPr>
          <w:p w14:paraId="72AFF383" w14:textId="77777777" w:rsidR="00D45EF4" w:rsidRDefault="00000000">
            <w:pPr>
              <w:pStyle w:val="Compact"/>
            </w:pPr>
            <w:r>
              <w:t>0.018</w:t>
            </w:r>
          </w:p>
        </w:tc>
        <w:tc>
          <w:tcPr>
            <w:tcW w:w="0" w:type="auto"/>
          </w:tcPr>
          <w:p w14:paraId="631DED36" w14:textId="77777777" w:rsidR="00D45EF4" w:rsidRDefault="00000000">
            <w:pPr>
              <w:pStyle w:val="Compact"/>
            </w:pPr>
            <w:r>
              <w:t>0.5</w:t>
            </w:r>
          </w:p>
        </w:tc>
        <w:tc>
          <w:tcPr>
            <w:tcW w:w="0" w:type="auto"/>
          </w:tcPr>
          <w:p w14:paraId="0E221DF1" w14:textId="77777777" w:rsidR="00D45EF4" w:rsidRDefault="00000000">
            <w:pPr>
              <w:pStyle w:val="Compact"/>
            </w:pPr>
            <w:r>
              <w:t>6.0</w:t>
            </w:r>
          </w:p>
        </w:tc>
        <w:tc>
          <w:tcPr>
            <w:tcW w:w="0" w:type="auto"/>
          </w:tcPr>
          <w:p w14:paraId="4DE35A8D" w14:textId="77777777" w:rsidR="00D45EF4" w:rsidRDefault="00000000">
            <w:pPr>
              <w:pStyle w:val="Compact"/>
            </w:pPr>
            <w:r>
              <w:t>0.7446</w:t>
            </w:r>
          </w:p>
        </w:tc>
        <w:tc>
          <w:tcPr>
            <w:tcW w:w="0" w:type="auto"/>
          </w:tcPr>
          <w:p w14:paraId="2615AF50" w14:textId="77777777" w:rsidR="00D45EF4" w:rsidRDefault="00000000">
            <w:pPr>
              <w:pStyle w:val="Compact"/>
            </w:pPr>
            <w:r>
              <w:t>1.25e-05</w:t>
            </w:r>
          </w:p>
        </w:tc>
      </w:tr>
    </w:tbl>
    <w:p w14:paraId="18CEA729" w14:textId="77777777" w:rsidR="00D45EF4" w:rsidRDefault="00000000">
      <w:pPr>
        <w:pStyle w:val="Nagwek2"/>
      </w:pPr>
      <w:bookmarkStart w:id="21" w:name="visualization-of-results"/>
      <w:bookmarkEnd w:id="17"/>
      <w:bookmarkEnd w:id="20"/>
      <w:r>
        <w:lastRenderedPageBreak/>
        <w:t>14. Visualization of results</w:t>
      </w:r>
    </w:p>
    <w:p w14:paraId="4AEF82FF" w14:textId="77777777" w:rsidR="00D45EF4" w:rsidRDefault="00000000">
      <w:pPr>
        <w:pStyle w:val="FirstParagraph"/>
      </w:pPr>
      <w:r>
        <w:t>Figure 1 tracks the \((n_s, r)\) trajectory as \(\beta\) increases, while Figure 2 shows the joint evolution of \(F(\chi)\) and \(U(\chi)\) near the RG transition. Embedding the figures eliminates the need for external file references.</w:t>
      </w:r>
    </w:p>
    <w:p w14:paraId="618145D4" w14:textId="77777777" w:rsidR="00D45EF4" w:rsidRDefault="00000000">
      <w:pPr>
        <w:pStyle w:val="CaptionedFigure"/>
      </w:pPr>
      <w:r>
        <w:rPr>
          <w:noProof/>
        </w:rPr>
        <w:drawing>
          <wp:inline distT="0" distB="0" distL="0" distR="0" wp14:anchorId="0234D351" wp14:editId="3F9B8159">
            <wp:extent cx="4267200" cy="3320942"/>
            <wp:effectExtent l="0" t="0" r="0" b="0"/>
            <wp:docPr id="41" name="Picture" descr="Figure 1. \((n_s, r)\) trajectory obtained from the full parameter scan."/>
            <wp:cNvGraphicFramePr/>
            <a:graphic xmlns:a="http://schemas.openxmlformats.org/drawingml/2006/main">
              <a:graphicData uri="http://schemas.openxmlformats.org/drawingml/2006/picture">
                <pic:pic xmlns:pic="http://schemas.openxmlformats.org/drawingml/2006/picture">
                  <pic:nvPicPr>
                    <pic:cNvPr id="42" name="Picture" descr="C:\\Users\\polcr\\documents\\github\\next-app-router-playground\\q\\v4\\nsr_trajectory.png"/>
                    <pic:cNvPicPr>
                      <a:picLocks noChangeAspect="1" noChangeArrowheads="1"/>
                    </pic:cNvPicPr>
                  </pic:nvPicPr>
                  <pic:blipFill>
                    <a:blip r:embed="rId5"/>
                    <a:stretch>
                      <a:fillRect/>
                    </a:stretch>
                  </pic:blipFill>
                  <pic:spPr bwMode="auto">
                    <a:xfrm>
                      <a:off x="0" y="0"/>
                      <a:ext cx="4267200" cy="3320942"/>
                    </a:xfrm>
                    <a:prstGeom prst="rect">
                      <a:avLst/>
                    </a:prstGeom>
                    <a:noFill/>
                    <a:ln w="9525">
                      <a:noFill/>
                      <a:headEnd/>
                      <a:tailEnd/>
                    </a:ln>
                  </pic:spPr>
                </pic:pic>
              </a:graphicData>
            </a:graphic>
          </wp:inline>
        </w:drawing>
      </w:r>
    </w:p>
    <w:p w14:paraId="3760C403" w14:textId="77777777" w:rsidR="00D45EF4" w:rsidRDefault="00000000">
      <w:pPr>
        <w:pStyle w:val="ImageCaption"/>
      </w:pPr>
      <w:r>
        <w:t>Figure 1. \((n_s, r)\) trajectory obtained from the full parameter scan.</w:t>
      </w:r>
    </w:p>
    <w:p w14:paraId="164C7372" w14:textId="77777777" w:rsidR="00D45EF4" w:rsidRDefault="00000000">
      <w:pPr>
        <w:pStyle w:val="CaptionedFigure"/>
      </w:pPr>
      <w:r>
        <w:rPr>
          <w:noProof/>
        </w:rPr>
        <w:drawing>
          <wp:inline distT="0" distB="0" distL="0" distR="0" wp14:anchorId="4BBE12A5" wp14:editId="55DE1038">
            <wp:extent cx="4267200" cy="1962410"/>
            <wp:effectExtent l="0" t="0" r="0" b="0"/>
            <wp:docPr id="44" name="Picture" descr="Figure 2. Profiles of \(F(\chi)\) and \(U(\chi)\) illustrating the active screen."/>
            <wp:cNvGraphicFramePr/>
            <a:graphic xmlns:a="http://schemas.openxmlformats.org/drawingml/2006/main">
              <a:graphicData uri="http://schemas.openxmlformats.org/drawingml/2006/picture">
                <pic:pic xmlns:pic="http://schemas.openxmlformats.org/drawingml/2006/picture">
                  <pic:nvPicPr>
                    <pic:cNvPr id="45" name="Picture" descr="C:\\Users\\polcr\\documents\\github\\next-app-router-playground\\q\\v4\\F_U_overlay.png"/>
                    <pic:cNvPicPr>
                      <a:picLocks noChangeAspect="1" noChangeArrowheads="1"/>
                    </pic:cNvPicPr>
                  </pic:nvPicPr>
                  <pic:blipFill>
                    <a:blip r:embed="rId6"/>
                    <a:stretch>
                      <a:fillRect/>
                    </a:stretch>
                  </pic:blipFill>
                  <pic:spPr bwMode="auto">
                    <a:xfrm>
                      <a:off x="0" y="0"/>
                      <a:ext cx="4267200" cy="1962410"/>
                    </a:xfrm>
                    <a:prstGeom prst="rect">
                      <a:avLst/>
                    </a:prstGeom>
                    <a:noFill/>
                    <a:ln w="9525">
                      <a:noFill/>
                      <a:headEnd/>
                      <a:tailEnd/>
                    </a:ln>
                  </pic:spPr>
                </pic:pic>
              </a:graphicData>
            </a:graphic>
          </wp:inline>
        </w:drawing>
      </w:r>
    </w:p>
    <w:p w14:paraId="0DF5936A" w14:textId="77777777" w:rsidR="00D45EF4" w:rsidRDefault="00000000">
      <w:pPr>
        <w:pStyle w:val="ImageCaption"/>
      </w:pPr>
      <w:r>
        <w:t>Figure 2. Profiles of \(F(\chi)\) and \(U(\chi)\) illustrating the active screen.</w:t>
      </w:r>
    </w:p>
    <w:p w14:paraId="2125096D" w14:textId="77777777" w:rsidR="00D45EF4" w:rsidRDefault="00000000">
      <w:pPr>
        <w:pStyle w:val="Nagwek2"/>
      </w:pPr>
      <w:bookmarkStart w:id="22" w:name="data-availability-and-replication"/>
      <w:bookmarkEnd w:id="21"/>
      <w:r>
        <w:t>15. Data availability and replication</w:t>
      </w:r>
    </w:p>
    <w:p w14:paraId="24E74BC1" w14:textId="77777777" w:rsidR="00D45EF4" w:rsidRDefault="00000000">
      <w:pPr>
        <w:pStyle w:val="FirstParagraph"/>
      </w:pPr>
      <w:r>
        <w:t>The project repository contains the manuscripts, LaTeX packages, analytic notebooks, and derived plots referenced here. Parameter grids, \(n_s\)–\(r\) trajectories, and field-space overlays are archived alongside the computational steps, enabling full replication. Additional materials can be supplied directly to external referees upon request.</w:t>
      </w:r>
    </w:p>
    <w:p w14:paraId="5851E495" w14:textId="77777777" w:rsidR="00D45EF4" w:rsidRDefault="00000000">
      <w:pPr>
        <w:pStyle w:val="Nagwek2"/>
      </w:pPr>
      <w:bookmarkStart w:id="23" w:name="conclusions"/>
      <w:bookmarkEnd w:id="22"/>
      <w:r>
        <w:lastRenderedPageBreak/>
        <w:t>16. Conclusions</w:t>
      </w:r>
    </w:p>
    <w:p w14:paraId="58BB0E2E" w14:textId="77777777" w:rsidR="00D45EF4" w:rsidRDefault="00000000">
      <w:pPr>
        <w:pStyle w:val="Compact"/>
        <w:numPr>
          <w:ilvl w:val="0"/>
          <w:numId w:val="2"/>
        </w:numPr>
      </w:pPr>
      <w:r>
        <w:t>The running Planck mass \(F(\chi)\) simultaneously sources \(n_s\) and \(r\) through a geometrically localized threshold with a plausible RG origin and delivers \(\Delta \chi^2 = -4.6\) relative to \((\Lambda\)CDM+\(r\)) for one additional parameter.</w:t>
      </w:r>
    </w:p>
    <w:p w14:paraId="1B1BE3B0" w14:textId="77777777" w:rsidR="00D45EF4" w:rsidRDefault="00000000">
      <w:pPr>
        <w:pStyle w:val="Compact"/>
        <w:numPr>
          <w:ilvl w:val="0"/>
          <w:numId w:val="2"/>
        </w:numPr>
      </w:pPr>
      <w:r>
        <w:t>Planck24+ACT DR6+SPT-3G 2024+BK21+SO-PF likelihoods carve out \(\beta \approx 0.009\), \(\Delta \sim 1.25\), \(\chi_0 \approx 5.6\), yielding \(r \sim 5 \times 10^{-3}\) while predicting \(\alpha_s \approx -7.1 \times 10^{-4}\) and \(f_{\text{NL}}^{\text{equil}} \approx 0.3\) as concrete targets.</w:t>
      </w:r>
    </w:p>
    <w:p w14:paraId="17FA9CC6" w14:textId="77777777" w:rsidR="00D45EF4" w:rsidRDefault="00000000">
      <w:pPr>
        <w:pStyle w:val="Compact"/>
        <w:numPr>
          <w:ilvl w:val="0"/>
          <w:numId w:val="2"/>
        </w:numPr>
      </w:pPr>
      <w:r>
        <w:t>Consistent reheating histories with \(T_{\text{reh}} \sim 10^9\,\text{GeV}\) keep \(N_k = 54 \pm 2\), \(\Delta N_{\text{eff}} &lt; 0.04\), and preserve compatibility with the Planck24/ACT posterior.</w:t>
      </w:r>
    </w:p>
    <w:p w14:paraId="045D1680" w14:textId="77777777" w:rsidR="00D45EF4" w:rsidRDefault="00000000">
      <w:pPr>
        <w:pStyle w:val="Compact"/>
        <w:numPr>
          <w:ilvl w:val="0"/>
          <w:numId w:val="2"/>
        </w:numPr>
      </w:pPr>
      <w:r>
        <w:t>Upcoming measurements sensitive to \(r \sim 10^{-3}\) and \(|f_{\text{NL}}| \sim 0.1\) (LiteBIRD, CMB-S4, PICO, MegaMapper) can falsify or confirm the ASG screening mechanism, with every quantitative ingredient presented inside this report.</w:t>
      </w:r>
      <w:bookmarkEnd w:id="0"/>
      <w:bookmarkEnd w:id="23"/>
    </w:p>
    <w:sectPr w:rsidR="00D45EF4">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5AF4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F2DD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73243620">
    <w:abstractNumId w:val="0"/>
  </w:num>
  <w:num w:numId="2" w16cid:durableId="1174296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45EF4"/>
    <w:rsid w:val="005E0700"/>
    <w:rsid w:val="00D45EF4"/>
    <w:rsid w:val="00D9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D131"/>
  <w15:docId w15:val="{C0CE7B58-52BC-42CE-BAEA-9FFA40D5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1981</Words>
  <Characters>11887</Characters>
  <Application>Microsoft Office Word</Application>
  <DocSecurity>0</DocSecurity>
  <Lines>99</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Szymański</cp:lastModifiedBy>
  <cp:revision>2</cp:revision>
  <dcterms:created xsi:type="dcterms:W3CDTF">2026-02-17T15:54:00Z</dcterms:created>
  <dcterms:modified xsi:type="dcterms:W3CDTF">2026-02-17T15:55:00Z</dcterms:modified>
</cp:coreProperties>
</file>