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2AF6D" w14:textId="77777777" w:rsidR="00685442" w:rsidRDefault="00000000">
      <w:pPr>
        <w:pStyle w:val="Nagwek1"/>
      </w:pPr>
      <w:bookmarkStart w:id="0" w:name="X1d410181e3d88595351cf94520fc2bf70f550dd"/>
      <w:r>
        <w:t>Active Screen Gravity: Running Planck Mass as a Novel Inflationary Theory</w:t>
      </w:r>
    </w:p>
    <w:p w14:paraId="16A0D625" w14:textId="7249E244" w:rsidR="00685442" w:rsidRDefault="00000000">
      <w:pPr>
        <w:pStyle w:val="FirstParagraph"/>
      </w:pPr>
      <w:r>
        <w:t>Author: ASG Research Collective \ Date: February 17, 2026</w:t>
      </w:r>
    </w:p>
    <w:p w14:paraId="3344127F" w14:textId="77777777" w:rsidR="00685442" w:rsidRDefault="00000000">
      <w:pPr>
        <w:pStyle w:val="Nagwek2"/>
      </w:pPr>
      <w:bookmarkStart w:id="1" w:name="abstract"/>
      <w:r>
        <w:t>Abstract</w:t>
      </w:r>
    </w:p>
    <w:p w14:paraId="55866FCC" w14:textId="77777777" w:rsidR="00685442" w:rsidRDefault="00000000">
      <w:pPr>
        <w:pStyle w:val="FirstParagraph"/>
      </w:pPr>
      <w:r>
        <w:t>This short note states the core idea of the Active Screen Gravity (ASG) program: observable inflationary quantities are governed by a localized running of the Planck mass (F()) instead of the bare inflaton potential (V()). We present the geometric derivation, a minimal benchmark, and a single illustrative figure to explain the mechanism. Phenomenology and UV embedding are deferred to separate follow-up work; no likelihood fits or tables are included here.</w:t>
      </w:r>
    </w:p>
    <w:p w14:paraId="217BC0E6" w14:textId="77777777" w:rsidR="00685442" w:rsidRDefault="00000000">
      <w:pPr>
        <w:pStyle w:val="Nagwek2"/>
      </w:pPr>
      <w:bookmarkStart w:id="2" w:name="introduction"/>
      <w:bookmarkEnd w:id="1"/>
      <w:r>
        <w:t>1. Introduction</w:t>
      </w:r>
    </w:p>
    <w:p w14:paraId="23A3FE97" w14:textId="77777777" w:rsidR="00685442" w:rsidRDefault="00000000">
      <w:pPr>
        <w:pStyle w:val="FirstParagraph"/>
      </w:pPr>
      <w:r>
        <w:t>Conventional single-field models express the scalar tilt (n_s) and tensor ratio (r) through derivatives of (V()). ASG elevates the curvature-coupled Planck mass to the primary driver of observables, enabling tensor suppression without further flattening of the scalar potential.</w:t>
      </w:r>
    </w:p>
    <w:p w14:paraId="656AA1D2" w14:textId="77777777" w:rsidR="00685442" w:rsidRDefault="00000000">
      <w:pPr>
        <w:pStyle w:val="Nagwek2"/>
      </w:pPr>
      <w:bookmarkStart w:id="3" w:name="theoretical-setup"/>
      <w:bookmarkEnd w:id="2"/>
      <w:r>
        <w:t>2. Theoretical setup</w:t>
      </w:r>
    </w:p>
    <w:p w14:paraId="46CEF39E" w14:textId="77777777" w:rsidR="00685442" w:rsidRDefault="00000000">
      <w:pPr>
        <w:pStyle w:val="FirstParagraph"/>
      </w:pPr>
      <w:r>
        <w:t>ASG begins from a scalar–tensor action</w:t>
      </w:r>
    </w:p>
    <w:p w14:paraId="0C64D7AF" w14:textId="77777777" w:rsidR="00685442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 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g</m:t>
              </m:r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3B2FB8A" w14:textId="77777777" w:rsidR="00685442" w:rsidRDefault="00000000">
      <w:pPr>
        <w:pStyle w:val="FirstParagraph"/>
      </w:pPr>
      <w:r>
        <w:t>with (F() = M_^2()). Identifying the RG scale with the field amplitude, ( ), yields a localized threshold encoded as</w:t>
      </w:r>
    </w:p>
    <w:p w14:paraId="5468A1FE" w14:textId="77777777" w:rsidR="00685442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χ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≃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χ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D1B6457" w14:textId="77777777" w:rsidR="00685442" w:rsidRDefault="00000000">
      <w:pPr>
        <w:pStyle w:val="FirstParagraph"/>
      </w:pPr>
      <w:r>
        <w:t>which behaves as an active gravitational screen.</w:t>
      </w:r>
    </w:p>
    <w:p w14:paraId="2EE539FE" w14:textId="77777777" w:rsidR="00685442" w:rsidRDefault="00000000">
      <w:pPr>
        <w:pStyle w:val="Nagwek2"/>
      </w:pPr>
      <w:bookmarkStart w:id="4" w:name="geometric-formalism"/>
      <w:bookmarkEnd w:id="3"/>
      <w:r>
        <w:t>3. Geometric formalism</w:t>
      </w:r>
    </w:p>
    <w:p w14:paraId="2AEE9DB1" w14:textId="77777777" w:rsidR="00685442" w:rsidRDefault="00000000">
      <w:pPr>
        <w:pStyle w:val="FirstParagraph"/>
      </w:pPr>
      <w:r>
        <w:t>A conformal transformation (</w:t>
      </w:r>
      <w:r>
        <w:rPr>
          <w:i/>
          <w:iCs/>
        </w:rPr>
        <w:t>{} = F() g</w:t>
      </w:r>
      <w:r>
        <w:t>{}) produces the Einstein-frame potential and field-space metric</w:t>
      </w:r>
    </w:p>
    <w:p w14:paraId="1F244FAB" w14:textId="77777777" w:rsidR="00685442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χ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χ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F1107B8" w14:textId="77777777" w:rsidR="00685442" w:rsidRDefault="00000000">
      <w:pPr>
        <w:pStyle w:val="FirstParagraph"/>
      </w:pPr>
      <w:r>
        <w:t>The canonical field satisfies (d/d= ), giving slow-roll parameters</w:t>
      </w:r>
    </w:p>
    <w:p w14:paraId="5B620B50" w14:textId="77777777" w:rsidR="00685442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ϵ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U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  η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B58E45D" w14:textId="77777777" w:rsidR="00685442" w:rsidRDefault="00000000">
      <w:pPr>
        <w:pStyle w:val="FirstParagraph"/>
      </w:pPr>
      <w:r>
        <w:t>Substituting (U = V/F^2) isolates geometric derivatives:</w:t>
      </w:r>
    </w:p>
    <w:p w14:paraId="7C3D97A0" w14:textId="77777777" w:rsidR="00685442" w:rsidRDefault="00000000">
      <w:pPr>
        <w:pStyle w:val="Tekstpodstawowy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F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EEDF24" w14:textId="77777777" w:rsidR="00685442" w:rsidRDefault="00000000">
      <w:pPr>
        <w:pStyle w:val="FirstParagraph"/>
      </w:pPr>
      <w:r>
        <w:t>On an inflationary plateau, (V’/V) and (V’‘/V) are negligible, so (n_s - 1  F’‘/F) and (r  (F’/F)^2).</w:t>
      </w:r>
    </w:p>
    <w:p w14:paraId="23F35866" w14:textId="77777777" w:rsidR="00685442" w:rsidRDefault="00000000">
      <w:pPr>
        <w:pStyle w:val="Nagwek2"/>
      </w:pPr>
      <w:bookmarkStart w:id="5" w:name="active-screen-mechanism"/>
      <w:bookmarkEnd w:id="4"/>
      <w:r>
        <w:t>4. Active screen mechanism</w:t>
      </w:r>
    </w:p>
    <w:p w14:paraId="4992FF3F" w14:textId="77777777" w:rsidR="00685442" w:rsidRDefault="00000000">
      <w:pPr>
        <w:pStyle w:val="FirstParagraph"/>
      </w:pPr>
      <w:r>
        <w:t>The RG interpretation assumes a localized beta function</w:t>
      </w:r>
    </w:p>
    <w:p w14:paraId="2756E496" w14:textId="77777777" w:rsidR="00685442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μ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dG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μ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-ln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B8C1A05" w14:textId="77777777" w:rsidR="00685442" w:rsidRDefault="00000000">
      <w:pPr>
        <w:pStyle w:val="FirstParagraph"/>
      </w:pPr>
      <w:r>
        <w:t>Mapping () to () generates a smooth step in (G = 1/F). The number of e-folds</w:t>
      </w:r>
    </w:p>
    <w:p w14:paraId="58CF0F40" w14:textId="77777777" w:rsidR="00685442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den>
          </m:f>
          <m:r>
            <w:rPr>
              <w:rFonts w:ascii="Cambria Math" w:hAnsi="Cambria Math"/>
            </w:rPr>
            <m:t>dχ</m:t>
          </m:r>
          <m:r>
            <m:rPr>
              <m:sty m:val="p"/>
            </m:rPr>
            <w:rPr>
              <w:rFonts w:ascii="Cambria Math" w:hAnsi="Cambria Math"/>
            </w:rPr>
            <m:t>=∫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dχ</m:t>
              </m:r>
            </m:num>
            <m:den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'/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'/</m:t>
              </m:r>
              <m:r>
                <w:rPr>
                  <w:rFonts w:ascii="Cambria Math" w:hAnsi="Cambria Math"/>
                </w:rPr>
                <m:t>F</m:t>
              </m:r>
            </m:den>
          </m:f>
        </m:oMath>
      </m:oMathPara>
    </w:p>
    <w:p w14:paraId="1A88F780" w14:textId="77777777" w:rsidR="00685442" w:rsidRDefault="00000000">
      <w:pPr>
        <w:pStyle w:val="FirstParagraph"/>
      </w:pPr>
      <w:r>
        <w:t>diverges when (F’/F V’/(2V)), producing a natural plateau without additional tuning in (V()).</w:t>
      </w:r>
    </w:p>
    <w:p w14:paraId="138B9689" w14:textId="77777777" w:rsidR="00685442" w:rsidRDefault="00000000">
      <w:pPr>
        <w:pStyle w:val="Nagwek2"/>
      </w:pPr>
      <w:bookmarkStart w:id="6" w:name="observational-predictions"/>
      <w:bookmarkEnd w:id="5"/>
      <w:r>
        <w:t>5. Observational predictions</w:t>
      </w:r>
    </w:p>
    <w:p w14:paraId="6D1ABF9D" w14:textId="77777777" w:rsidR="00685442" w:rsidRDefault="00000000">
      <w:pPr>
        <w:pStyle w:val="FirstParagraph"/>
      </w:pPr>
      <w:r>
        <w:t>The coupled observables follow</w:t>
      </w:r>
    </w:p>
    <w:p w14:paraId="3635CC91" w14:textId="77777777" w:rsidR="00685442" w:rsidRDefault="00000000">
      <w:pPr>
        <w:pStyle w:val="Tekstpodstawowy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≃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Cβ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  r</m:t>
          </m:r>
          <m:r>
            <m:rPr>
              <m:sty m:val="p"/>
            </m:rPr>
            <w:rPr>
              <w:rFonts w:ascii="Cambria Math" w:hAnsi="Cambria Math"/>
            </w:rPr>
            <m:t>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γβ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8F5AB1F" w14:textId="77777777" w:rsidR="00685442" w:rsidRDefault="00000000">
      <w:pPr>
        <w:pStyle w:val="FirstParagraph"/>
      </w:pPr>
      <w:r>
        <w:t>showing that larger () simultaneously reddens (n_s) and suppresses (r) to the (10^{-4}) regime. This differs from ()-attractors where (r) can vary independently.</w:t>
      </w:r>
    </w:p>
    <w:p w14:paraId="13B292F1" w14:textId="77777777" w:rsidR="00685442" w:rsidRDefault="00000000">
      <w:pPr>
        <w:pStyle w:val="Nagwek2"/>
      </w:pPr>
      <w:bookmarkStart w:id="7" w:name="geometry-first-predictions"/>
      <w:bookmarkEnd w:id="6"/>
      <w:r>
        <w:t>6. Geometry-first predictions</w:t>
      </w:r>
    </w:p>
    <w:p w14:paraId="44BBD063" w14:textId="77777777" w:rsidR="00685442" w:rsidRDefault="00000000">
      <w:pPr>
        <w:pStyle w:val="FirstParagraph"/>
      </w:pPr>
      <w:r>
        <w:t>Rather than fitting survey data, we isolate the geometric content of ASG. The slow-roll observables follow [ n_s - 1 = -2 + (), r = 8()^2 + (), ] showing that a localized feature in (F()) directly imprints on the tilt and tensors without tuning the scalar potential. For the Gaussian screen [ F() = 1 + , ] we obtain the minimal relations [ n_s - 1  e^{-}, r ^2  e^{-2}. ] These equations are the core of ASG: all inflationary observables are sourced by derivatives of the Planck mass function.</w:t>
      </w:r>
    </w:p>
    <w:p w14:paraId="74363F94" w14:textId="77777777" w:rsidR="00685442" w:rsidRDefault="00000000">
      <w:pPr>
        <w:pStyle w:val="Nagwek2"/>
      </w:pPr>
      <w:bookmarkStart w:id="8" w:name="minimal-benchmark"/>
      <w:bookmarkEnd w:id="7"/>
      <w:r>
        <w:lastRenderedPageBreak/>
        <w:t>7. Minimal benchmark</w:t>
      </w:r>
    </w:p>
    <w:p w14:paraId="6031F3E5" w14:textId="77777777" w:rsidR="00685442" w:rsidRDefault="00000000">
      <w:pPr>
        <w:pStyle w:val="FirstParagraph"/>
      </w:pPr>
      <w:r>
        <w:t>Choosing (= 0.02) and (= 1), and evaluating the screen near (- _0 = ), gives [ n_s , r  ^{-3}, ] with (). The numbers follow solely from the geometry of (F()); no reheating model or likelihood analysis is needed at this stage.</w:t>
      </w:r>
    </w:p>
    <w:p w14:paraId="77667E04" w14:textId="77777777" w:rsidR="00685442" w:rsidRDefault="00000000">
      <w:pPr>
        <w:pStyle w:val="Nagwek2"/>
      </w:pPr>
      <w:bookmarkStart w:id="9" w:name="conceptual-outlook"/>
      <w:bookmarkEnd w:id="8"/>
      <w:r>
        <w:t>8. Conceptual outlook</w:t>
      </w:r>
    </w:p>
    <w:p w14:paraId="31FD59E3" w14:textId="77777777" w:rsidR="00685442" w:rsidRDefault="00000000">
      <w:pPr>
        <w:pStyle w:val="FirstParagraph"/>
      </w:pPr>
      <w:r>
        <w:t xml:space="preserve">The ASG research path is now staged explicitly: 1. </w:t>
      </w:r>
      <w:r>
        <w:rPr>
          <w:b/>
          <w:bCs/>
        </w:rPr>
        <w:t>Mechanism (this note):</w:t>
      </w:r>
      <w:r>
        <w:t xml:space="preserve"> Show how a running Planck mass fixes (n_s) and (r). 2. </w:t>
      </w:r>
      <w:r>
        <w:rPr>
          <w:b/>
          <w:bCs/>
        </w:rPr>
        <w:t>Phenomenology (future work):</w:t>
      </w:r>
      <w:r>
        <w:t xml:space="preserve"> Map (, , _0) onto current CMB data and visualize the resulting trajectories. 3. </w:t>
      </w:r>
      <w:r>
        <w:rPr>
          <w:b/>
          <w:bCs/>
        </w:rPr>
        <w:t>UV origin (future work):</w:t>
      </w:r>
      <w:r>
        <w:t xml:space="preserve"> Embed the Gaussian screen in explicit RG flows or asymptotically safe completions. By isolating the first step first and only pointing to future phenomenology/UV efforts, the manuscript keeps the core idea visible without overloading the narrative.</w:t>
      </w:r>
    </w:p>
    <w:p w14:paraId="5F6E2BCF" w14:textId="77777777" w:rsidR="00685442" w:rsidRDefault="00000000">
      <w:pPr>
        <w:pStyle w:val="CaptionedFigure"/>
      </w:pPr>
      <w:r>
        <w:rPr>
          <w:noProof/>
        </w:rPr>
        <w:drawing>
          <wp:inline distT="0" distB="0" distL="0" distR="0" wp14:anchorId="58EC0E0C" wp14:editId="72E3D7D8">
            <wp:extent cx="4000500" cy="1839760"/>
            <wp:effectExtent l="0" t="0" r="0" b="0"/>
            <wp:docPr id="29" name="Picture" descr="Figure 1. Profiles of (F()) and (U()) illustrating the active scree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C:\Users\polcr\documents\github\next-app-router-playground\q\v4\F_U_overlay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39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9395F1" w14:textId="77777777" w:rsidR="00685442" w:rsidRDefault="00000000">
      <w:pPr>
        <w:pStyle w:val="ImageCaption"/>
      </w:pPr>
      <w:r>
        <w:t>Figure 1. Profiles of (F()) and (U()) illustrating the active screen.</w:t>
      </w:r>
      <w:bookmarkEnd w:id="0"/>
      <w:bookmarkEnd w:id="9"/>
    </w:p>
    <w:sectPr w:rsidR="00685442"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B447B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59489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5442"/>
    <w:rsid w:val="00685442"/>
    <w:rsid w:val="008726C6"/>
    <w:rsid w:val="00BF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65262"/>
  <w15:docId w15:val="{6586BA67-863A-4CC7-965B-4A2601975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Nagwek2">
    <w:name w:val="heading 2"/>
    <w:basedOn w:val="Normalny"/>
    <w:next w:val="Tekstpodstawowy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Nagwek3">
    <w:name w:val="heading 3"/>
    <w:basedOn w:val="Normalny"/>
    <w:next w:val="Tekstpodstawowy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Tekstpodstawowy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Nagwek5">
    <w:name w:val="heading 5"/>
    <w:basedOn w:val="Normalny"/>
    <w:next w:val="Tekstpodstawowy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Nagwek6">
    <w:name w:val="heading 6"/>
    <w:basedOn w:val="Normalny"/>
    <w:next w:val="Tekstpodstawowy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7">
    <w:name w:val="heading 7"/>
    <w:basedOn w:val="Normalny"/>
    <w:next w:val="Tekstpodstawowy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8">
    <w:name w:val="heading 8"/>
    <w:basedOn w:val="Normalny"/>
    <w:next w:val="Tekstpodstawowy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9">
    <w:name w:val="heading 9"/>
    <w:basedOn w:val="Normalny"/>
    <w:next w:val="Tekstpodstawowy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Podtytu">
    <w:name w:val="Subtitle"/>
    <w:basedOn w:val="Tytu"/>
    <w:next w:val="Tekstpodstawowy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kstpodstawowy"/>
    <w:qFormat/>
    <w:pPr>
      <w:keepNext/>
      <w:keepLines/>
      <w:jc w:val="center"/>
    </w:pPr>
  </w:style>
  <w:style w:type="paragraph" w:styleId="Data">
    <w:name w:val="Date"/>
    <w:next w:val="Tekstpodstawowy"/>
    <w:qFormat/>
    <w:pPr>
      <w:keepNext/>
      <w:keepLines/>
      <w:jc w:val="center"/>
    </w:p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4F81BD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541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Robert Szymański</cp:lastModifiedBy>
  <cp:revision>2</cp:revision>
  <dcterms:created xsi:type="dcterms:W3CDTF">2026-02-17T16:47:00Z</dcterms:created>
  <dcterms:modified xsi:type="dcterms:W3CDTF">2026-02-17T16:56:00Z</dcterms:modified>
</cp:coreProperties>
</file>