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Screen Gravity – Key Conclusions</w:t>
      </w:r>
    </w:p>
    <w:p>
      <w:pPr>
        <w:pStyle w:val="Heading2"/>
      </w:pPr>
      <w:r>
        <w:t>1. Fundamental Idea</w:t>
      </w:r>
    </w:p>
    <w:p>
      <w:r>
        <w:rPr>
          <w:sz w:val="22"/>
        </w:rPr>
        <w:t>Cosmological observables are governed by the running of the effective Planck mass rather than fine‑tuning of the inflaton potential.</w:t>
      </w:r>
    </w:p>
    <w:p>
      <w:pPr>
        <w:pStyle w:val="Heading2"/>
      </w:pPr>
      <w:r>
        <w:t>2. Mechanism</w:t>
      </w:r>
    </w:p>
    <w:p>
      <w:r>
        <w:rPr>
          <w:sz w:val="22"/>
        </w:rPr>
        <w:t>A localized deformation of gravitational coupling dynamically flattens the effective potential through slope cancellation.</w:t>
      </w:r>
    </w:p>
    <w:p>
      <w:pPr>
        <w:pStyle w:val="Heading2"/>
      </w:pPr>
      <w:r>
        <w:t>3. Predictions</w:t>
      </w:r>
    </w:p>
    <w:p>
      <w:r>
        <w:rPr>
          <w:sz w:val="22"/>
        </w:rPr>
        <w:t>The scalar spectral index is controlled by curvature of the running Planck mass, while tensor amplitude depends on its slope, producing a correlated trajectory in the (ns, r) plane.</w:t>
      </w:r>
    </w:p>
    <w:p>
      <w:pPr>
        <w:pStyle w:val="Heading2"/>
      </w:pPr>
      <w:r>
        <w:t>4. Natural Small r</w:t>
      </w:r>
    </w:p>
    <w:p>
      <w:r>
        <w:rPr>
          <w:sz w:val="22"/>
        </w:rPr>
        <w:t>The model predicts r ~ 10^-4 without fine tuning, unlike traditional inflation models.</w:t>
      </w:r>
    </w:p>
    <w:p>
      <w:pPr>
        <w:pStyle w:val="Heading2"/>
      </w:pPr>
      <w:r>
        <w:t>5. Dynamical Attractor</w:t>
      </w:r>
    </w:p>
    <w:p>
      <w:r>
        <w:rPr>
          <w:sz w:val="22"/>
        </w:rPr>
        <w:t>The cancellation regime behaves as a dynamical attractor, making inflation stable against initial condition variations.</w:t>
      </w:r>
    </w:p>
    <w:p>
      <w:pPr>
        <w:pStyle w:val="Heading2"/>
      </w:pPr>
      <w:r>
        <w:t>6. Observational Status</w:t>
      </w:r>
    </w:p>
    <w:p>
      <w:r>
        <w:rPr>
          <w:sz w:val="22"/>
        </w:rPr>
        <w:t>The framework is falsifiable by future CMB polarization missions measuring tensor modes.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