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Active Screen Gravity (ASG) – Comprehensive Hypothesis Summary</w:t>
      </w:r>
    </w:p>
    <w:p>
      <w:pPr>
        <w:pStyle w:val="Heading2"/>
      </w:pPr>
      <w:r>
        <w:t>Concept</w:t>
      </w:r>
    </w:p>
    <w:p>
      <w:r>
        <w:t xml:space="preserve">ASG proposes that the effective Planck mass is not fundamental but emergent. </w:t>
      </w:r>
    </w:p>
    <w:p>
      <w:r>
        <w:t xml:space="preserve">Gravity strength varies because vacuum polarization of quantum fields modifies spacetime stiffness. </w:t>
      </w:r>
    </w:p>
    <w:p>
      <w:r>
        <w:t>The macroscopic description is a scalar‑tensor theory where F(χ) acts as a dynamical Planck mass.</w:t>
      </w:r>
    </w:p>
    <w:p>
      <w:pPr>
        <w:pStyle w:val="Heading2"/>
      </w:pPr>
      <w:r>
        <w:t>Core Equations</w:t>
      </w:r>
    </w:p>
    <w:p>
      <w:r>
        <w:t>Action:</w:t>
      </w:r>
    </w:p>
    <w:p>
      <w:r>
        <w:t>S = ∫ d^4x √−g [ 1/2 F(χ)R − 1/2(∇χ)^2 − V(χ) + L_m ]</w:t>
      </w:r>
    </w:p>
    <w:p>
      <w:r>
        <w:t>Effective gravity:</w:t>
      </w:r>
    </w:p>
    <w:p>
      <w:r>
        <w:t>G_eff = 1 / (8πF(χ))</w:t>
      </w:r>
    </w:p>
    <w:p/>
    <w:p>
      <w:r>
        <w:t>RG‑motivated running:</w:t>
      </w:r>
    </w:p>
    <w:p>
      <w:r>
        <w:t>dG/dlnμ = a G²</w:t>
      </w:r>
    </w:p>
    <w:p>
      <w:r>
        <w:t>⇒ F(χ) reconstructed phenomenologically from RG flow</w:t>
      </w:r>
    </w:p>
    <w:p>
      <w:pPr>
        <w:pStyle w:val="Heading2"/>
      </w:pPr>
      <w:r>
        <w:t>Physical Interpretation</w:t>
      </w:r>
    </w:p>
    <w:p>
      <w:r>
        <w:t>χ represents collective vacuum polarization degrees of freedom.</w:t>
      </w:r>
    </w:p>
    <w:p>
      <w:r>
        <w:t>The model unifies:</w:t>
      </w:r>
    </w:p>
    <w:p>
      <w:r>
        <w:t>• Inflation (UV plateau)</w:t>
      </w:r>
    </w:p>
    <w:p>
      <w:r>
        <w:t>• Late acceleration (IR slow drift)</w:t>
      </w:r>
    </w:p>
    <w:p>
      <w:r>
        <w:t>• Strong‑gravity deviations near horizons</w:t>
      </w:r>
    </w:p>
    <w:p>
      <w:pPr>
        <w:pStyle w:val="Heading2"/>
      </w:pPr>
      <w:r>
        <w:t>Predictions</w:t>
      </w:r>
    </w:p>
    <w:p>
      <w:r>
        <w:t>Inflation:</w:t>
      </w:r>
    </w:p>
    <w:p>
      <w:r>
        <w:t>n_s ≈ 0.96 plateau behavior</w:t>
      </w:r>
    </w:p>
    <w:p>
      <w:r>
        <w:t>Low tensor ratio</w:t>
      </w:r>
    </w:p>
    <w:p/>
    <w:p>
      <w:r>
        <w:t>Dark Energy:</w:t>
      </w:r>
    </w:p>
    <w:p>
      <w:r>
        <w:t>w ≈ −1 with slow evolution</w:t>
      </w:r>
    </w:p>
    <w:p/>
    <w:p>
      <w:r>
        <w:t>Strong Gravity:</w:t>
      </w:r>
    </w:p>
    <w:p>
      <w:r>
        <w:t>possible echo reflectivity from curvature‑induced screening breakdown</w:t>
      </w:r>
    </w:p>
    <w:p>
      <w:pPr>
        <w:pStyle w:val="Heading2"/>
      </w:pPr>
      <w:r>
        <w:t>Research Program</w:t>
      </w:r>
    </w:p>
    <w:p>
      <w:r>
        <w:t>1. Planck spectrum consistency</w:t>
      </w:r>
    </w:p>
    <w:p>
      <w:r>
        <w:t>2. Mukhanov‑Sasaki perturbations</w:t>
      </w:r>
    </w:p>
    <w:p>
      <w:r>
        <w:t>3. Black‑hole wave scattering</w:t>
      </w:r>
    </w:p>
    <w:p>
      <w:r>
        <w:t>4. Reconstruction of F(χ) from particle vacuum polarization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