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(ASG) — Full Theory Summary</w:t>
      </w:r>
    </w:p>
    <w:p>
      <w:pPr>
        <w:pStyle w:val="Heading2"/>
      </w:pPr>
      <w:r>
        <w:t>1. Motivation</w:t>
      </w:r>
    </w:p>
    <w:p>
      <w:r>
        <w:rPr>
          <w:sz w:val="22"/>
        </w:rPr>
        <w:t xml:space="preserve">The Active Screen Gravity (ASG) model extends Starobinsky inflation by introducing a running effective Planck mass F(χ) motivated by renormalization group (RG) flow. </w:t>
        <w:br/>
        <w:t>Instead of modifying only the potential V(χ), the model modifies the geometry of field space, altering the inflationary dynamics in a physically distinguishable way.</w:t>
      </w:r>
    </w:p>
    <w:p>
      <w:pPr>
        <w:pStyle w:val="Heading2"/>
      </w:pPr>
      <w:r>
        <w:t>2. Core Mechanism</w:t>
      </w:r>
    </w:p>
    <w:p>
      <w:r>
        <w:rPr>
          <w:sz w:val="22"/>
        </w:rPr>
        <w:t xml:space="preserve">In the Einstein frame the effective potential is U = V/F². </w:t>
        <w:br/>
        <w:t xml:space="preserve">As the field rolls down V, the RG deformation causes F to decrease, partially cancelling the slope of the potential. </w:t>
        <w:br/>
        <w:t>This creates an ultra-flat effective plateau without fine tuning of V itself.</w:t>
      </w:r>
    </w:p>
    <w:p>
      <w:pPr>
        <w:pStyle w:val="Heading2"/>
      </w:pPr>
      <w:r>
        <w:t>3. Observable Consequences</w:t>
      </w:r>
    </w:p>
    <w:p>
      <w:r>
        <w:rPr>
          <w:sz w:val="22"/>
        </w:rPr>
        <w:t>Two coupled predictions emerge:</w:t>
        <w:br/>
        <w:t>1) Spectral tilt n_s is controlled primarily by curvature of F (second derivative).</w:t>
        <w:br/>
        <w:t>2) Tensor amplitude r is controlled by slope of F (first derivative).</w:t>
        <w:br/>
        <w:br/>
        <w:t>This creates a correlation between n_s and r unlike alpha-attractors where they are largely independent.</w:t>
      </w:r>
    </w:p>
    <w:p>
      <w:pPr>
        <w:pStyle w:val="Heading2"/>
      </w:pPr>
      <w:r>
        <w:t>4. Tensor Suppression</w:t>
      </w:r>
    </w:p>
    <w:p>
      <w:r>
        <w:rPr>
          <w:sz w:val="22"/>
        </w:rPr>
        <w:t>The tensor-to-scalar ratio is suppressed according to:</w:t>
        <w:br/>
        <w:t>r(β) ≈ r_0 (1 − γβ)²</w:t>
        <w:br/>
        <w:t>For β ≈ 0.02 the model predicts r ~ 10⁻⁴, significantly below the standard Starobinsky prediction (~0.003).</w:t>
      </w:r>
    </w:p>
    <w:p>
      <w:pPr>
        <w:pStyle w:val="Heading2"/>
      </w:pPr>
      <w:r>
        <w:t>5. Numerical Results</w:t>
      </w:r>
    </w:p>
    <w:p>
      <w:r>
        <w:rPr>
          <w:sz w:val="22"/>
        </w:rPr>
        <w:t>A scan in β shows a trajectory in the (n_s, r) plane moving leftward and downward:</w:t>
        <w:br/>
        <w:t>- decreasing n_s into the Planck preferred region</w:t>
        <w:br/>
        <w:t>- strongly suppressing r</w:t>
        <w:br/>
        <w:t>This trajectory is a unique observational signature of ASG.</w:t>
      </w:r>
    </w:p>
    <w:p>
      <w:pPr>
        <w:pStyle w:val="Heading2"/>
      </w:pPr>
      <w:r>
        <w:t>6. Distinction From Other Models</w:t>
      </w:r>
    </w:p>
    <w:p>
      <w:r>
        <w:rPr>
          <w:sz w:val="22"/>
        </w:rPr>
        <w:t>Starobinsky: fixed prediction near (0.968, 0.003)</w:t>
        <w:br/>
        <w:t>Alpha-attractors: adjustable r but independent of n_s</w:t>
        <w:br/>
        <w:t>ASG: coupled shift — lower r requires redder n_s</w:t>
        <w:br/>
        <w:br/>
        <w:t>Therefore future CMB missions can falsify or confirm the model.</w:t>
      </w:r>
    </w:p>
    <w:p>
      <w:pPr>
        <w:pStyle w:val="Heading2"/>
      </w:pPr>
      <w:r>
        <w:t>7. Experimental Forecast</w:t>
      </w:r>
    </w:p>
    <w:p>
      <w:r>
        <w:rPr>
          <w:sz w:val="22"/>
        </w:rPr>
        <w:t>If future experiments detect r ≈ 0.003 → favors Starobinsky</w:t>
        <w:br/>
        <w:t>If r &lt; 10⁻³ but ~10⁻⁴ detected → supports ASG running Planck mass scenario</w:t>
      </w:r>
    </w:p>
    <w:p>
      <w:pPr>
        <w:pStyle w:val="Heading2"/>
      </w:pPr>
      <w:r>
        <w:t>8. Physical Interpretation</w:t>
      </w:r>
    </w:p>
    <w:p>
      <w:r>
        <w:rPr>
          <w:sz w:val="22"/>
        </w:rPr>
        <w:t xml:space="preserve">The RG flow dynamically screens gravitational strength at high energies. </w:t>
        <w:br/>
        <w:t xml:space="preserve">Inflation ends not by steepening of V but by restoration of the Planck mass scale. </w:t>
        <w:br/>
        <w:t>Thus the geometry of gravity itself controls the inflationary observables.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