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8c3ac745d72768f980151591e3228d1f6b3408"/>
    <w:p>
      <w:pPr>
        <w:pStyle w:val="Heading1"/>
      </w:pPr>
      <w:r>
        <w:t xml:space="preserve">Active Screen Gravity: Running Planck Mass as the Origin of the Inflationary Attractor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propose a scalar–tensor framework in which the inflationary observables are governed by a renormalization–group (RG) flow of the gravitational coupling. Instead of modifying the inflaton potential directly, we allow the effective Planck mass to vary as a function of the scalar field, leading to an effective Einstein–frame potential U = V/F^2. We show analytically and numerically that the spectral tilt and tensor amplitude arise from geometric derivatives of F rather than from the shape of V. The model predicts a linear shift in n_s and a quadratic suppression of r, producing a characteristic trajectory in the (n_s, r) plane and an observational attractor consistent with current data.</w:t>
      </w:r>
    </w:p>
    <w:p>
      <w:r>
        <w:pict>
          <v:rect style="width:0;height:1.5pt" o:hralign="center" o:hrstd="t" o:hr="t"/>
        </w:pict>
      </w:r>
    </w:p>
    <w:bookmarkEnd w:id="20"/>
    <w:bookmarkStart w:id="21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Plateau inflation models successfully reproduce the observed scalar tilt but generically predict a tensor amplitude r ~ 10^-3. Lowering r typically requires tuning the potential. Here we explore a different mechanism: running gravitational coupling.</w:t>
      </w:r>
    </w:p>
    <w:p>
      <w:pPr>
        <w:pStyle w:val="BodyText"/>
      </w:pPr>
      <w:r>
        <w:t xml:space="preserve">Instead of modifying the inflaton potential, we modify the geometry experienced by the scalar field through a field‑dependent Planck mass:</w:t>
      </w:r>
    </w:p>
    <w:p>
      <w:pPr>
        <w:pStyle w:val="BodyText"/>
      </w:pPr>
      <w:r>
        <w:t xml:space="preserve">S = ∫ d^4x √−g [ F(χ) R − 1/2 (∂χ)^2 − V(χ) ]</w:t>
      </w:r>
    </w:p>
    <w:p>
      <w:pPr>
        <w:pStyle w:val="BodyText"/>
      </w:pPr>
      <w:r>
        <w:t xml:space="preserve">After conformal transformation to the Einstein frame the effective potential becomes</w:t>
      </w:r>
    </w:p>
    <w:p>
      <w:pPr>
        <w:pStyle w:val="BodyText"/>
      </w:pPr>
      <w:r>
        <w:t xml:space="preserve">U(χ) = V(χ) / F(χ)^2</w:t>
      </w:r>
    </w:p>
    <w:p>
      <w:pPr>
        <w:pStyle w:val="BodyText"/>
      </w:pPr>
      <w:r>
        <w:t xml:space="preserve">Thus inflation is controlled not only by V but also by the RG structure of gravity.</w:t>
      </w:r>
    </w:p>
    <w:p>
      <w:r>
        <w:pict>
          <v:rect style="width:0;height:1.5pt" o:hralign="center" o:hrstd="t" o:hr="t"/>
        </w:pict>
      </w:r>
    </w:p>
    <w:bookmarkEnd w:id="21"/>
    <w:bookmarkStart w:id="22" w:name="rg-interpretation"/>
    <w:p>
      <w:pPr>
        <w:pStyle w:val="Heading2"/>
      </w:pPr>
      <w:r>
        <w:t xml:space="preserve">2. RG Interpretation</w:t>
      </w:r>
    </w:p>
    <w:p>
      <w:pPr>
        <w:pStyle w:val="FirstParagraph"/>
      </w:pPr>
      <w:r>
        <w:t xml:space="preserve">We postulate that the gravitational coupling runs according to a quadratic beta function</w:t>
      </w:r>
    </w:p>
    <w:p>
      <w:pPr>
        <w:pStyle w:val="BodyText"/>
      </w:pPr>
      <w:r>
        <w:t xml:space="preserve">dG/d ln μ = a G^2</w:t>
      </w:r>
    </w:p>
    <w:p>
      <w:pPr>
        <w:pStyle w:val="BodyText"/>
      </w:pPr>
      <w:r>
        <w:t xml:space="preserve">Solving:</w:t>
      </w:r>
    </w:p>
    <w:p>
      <w:pPr>
        <w:pStyle w:val="BodyText"/>
      </w:pPr>
      <w:r>
        <w:t xml:space="preserve">G(μ) = G0 / (1 − a G0 ln(μ/μ0))</w:t>
      </w:r>
    </w:p>
    <w:p>
      <w:pPr>
        <w:pStyle w:val="BodyText"/>
      </w:pPr>
      <w:r>
        <w:t xml:space="preserve">The effective Planck mass is M_Pl^2 = 1/G, hence</w:t>
      </w:r>
    </w:p>
    <w:p>
      <w:pPr>
        <w:pStyle w:val="BodyText"/>
      </w:pPr>
      <w:r>
        <w:t xml:space="preserve">M_Pl^2(μ) ≈ M0^2 (1 + a ln(μ/μ0) + …)</w:t>
      </w:r>
    </w:p>
    <w:p>
      <w:pPr>
        <w:pStyle w:val="BodyText"/>
      </w:pPr>
      <w:r>
        <w:t xml:space="preserve">Identifying the RG scale with the scalar field amplitude</w:t>
      </w:r>
    </w:p>
    <w:p>
      <w:pPr>
        <w:pStyle w:val="BodyText"/>
      </w:pPr>
      <w:r>
        <w:t xml:space="preserve">μ ∝ e^{χ/Δ}</w:t>
      </w:r>
    </w:p>
    <w:p>
      <w:pPr>
        <w:pStyle w:val="BodyText"/>
      </w:pPr>
      <w:r>
        <w:t xml:space="preserve">we obtain a localized deformation of the Planck mass:</w:t>
      </w:r>
    </w:p>
    <w:p>
      <w:pPr>
        <w:pStyle w:val="BodyText"/>
      </w:pPr>
      <w:r>
        <w:t xml:space="preserve">F(χ) ≈ 1 + β exp[−(χ − χ0)^2 / Δ^2]</w:t>
      </w:r>
    </w:p>
    <w:p>
      <w:pPr>
        <w:pStyle w:val="BodyText"/>
      </w:pPr>
      <w:r>
        <w:t xml:space="preserve">Therefore the Gaussian feature is not an ansatz but the low‑order expansion of a running gravitational coupling around a transition scale χ0.</w:t>
      </w:r>
    </w:p>
    <w:p>
      <w:r>
        <w:pict>
          <v:rect style="width:0;height:1.5pt" o:hralign="center" o:hrstd="t" o:hr="t"/>
        </w:pict>
      </w:r>
    </w:p>
    <w:bookmarkEnd w:id="22"/>
    <w:bookmarkStart w:id="23" w:name="inflationary-dynamics"/>
    <w:p>
      <w:pPr>
        <w:pStyle w:val="Heading2"/>
      </w:pPr>
      <w:r>
        <w:t xml:space="preserve">3. Inflationary Dynamics</w:t>
      </w:r>
    </w:p>
    <w:p>
      <w:pPr>
        <w:pStyle w:val="FirstParagraph"/>
      </w:pPr>
      <w:r>
        <w:t xml:space="preserve">Slow‑roll parameters in the Einstein frame depend on derivatives of U:</w:t>
      </w:r>
    </w:p>
    <w:p>
      <w:pPr>
        <w:pStyle w:val="BodyText"/>
      </w:pPr>
      <w:r>
        <w:t xml:space="preserve">ε = 1/2 (U’/U)^2</w:t>
      </w:r>
      <w:r>
        <w:t xml:space="preserve"> </w:t>
      </w:r>
      <w:r>
        <w:t xml:space="preserve">η = U’’/U</w:t>
      </w:r>
    </w:p>
    <w:p>
      <w:pPr>
        <w:pStyle w:val="BodyText"/>
      </w:pPr>
      <w:r>
        <w:t xml:space="preserve">Using U = V/F^2 gives</w:t>
      </w:r>
    </w:p>
    <w:p>
      <w:pPr>
        <w:pStyle w:val="BodyText"/>
      </w:pPr>
      <w:r>
        <w:t xml:space="preserve">U’/U = V’/V − 2F’/F</w:t>
      </w:r>
    </w:p>
    <w:p>
      <w:pPr>
        <w:pStyle w:val="BodyText"/>
      </w:pPr>
      <w:r>
        <w:t xml:space="preserve">U’</w:t>
      </w:r>
      <w:r>
        <w:t xml:space="preserve">‘/U ≈ V’</w:t>
      </w:r>
      <w:r>
        <w:t xml:space="preserve">‘/V − 4(V’</w:t>
      </w:r>
      <w:r>
        <w:t xml:space="preserve">/V)(F’/F) − 2F’’/F</w:t>
      </w:r>
    </w:p>
    <w:p>
      <w:pPr>
        <w:pStyle w:val="BodyText"/>
      </w:pPr>
      <w:r>
        <w:t xml:space="preserve">For plateau potentials ε &lt;&lt; |η|, therefore</w:t>
      </w:r>
    </w:p>
    <w:p>
      <w:pPr>
        <w:pStyle w:val="BodyText"/>
      </w:pPr>
      <w:r>
        <w:t xml:space="preserve">n_s − 1 ≈ 2η ≈ (n_s − 1)_Star − 4F’’/F</w:t>
      </w:r>
    </w:p>
    <w:p>
      <w:pPr>
        <w:pStyle w:val="BodyText"/>
      </w:pPr>
      <w:r>
        <w:t xml:space="preserve">Thus the scalar tilt is controlled by curvature of the Planck mass.</w:t>
      </w:r>
    </w:p>
    <w:p>
      <w:r>
        <w:pict>
          <v:rect style="width:0;height:1.5pt" o:hralign="center" o:hrstd="t" o:hr="t"/>
        </w:pict>
      </w:r>
    </w:p>
    <w:bookmarkEnd w:id="23"/>
    <w:bookmarkStart w:id="24" w:name="tensor-suppression"/>
    <w:p>
      <w:pPr>
        <w:pStyle w:val="Heading2"/>
      </w:pPr>
      <w:r>
        <w:t xml:space="preserve">4. Tensor Suppression</w:t>
      </w:r>
    </w:p>
    <w:p>
      <w:pPr>
        <w:pStyle w:val="FirstParagraph"/>
      </w:pPr>
      <w:r>
        <w:t xml:space="preserve">The tensor‑to‑scalar ratio</w:t>
      </w:r>
    </w:p>
    <w:p>
      <w:pPr>
        <w:pStyle w:val="BodyText"/>
      </w:pPr>
      <w:r>
        <w:t xml:space="preserve">r = 16ε</w:t>
      </w:r>
    </w:p>
    <w:p>
      <w:pPr>
        <w:pStyle w:val="BodyText"/>
      </w:pPr>
      <w:r>
        <w:t xml:space="preserve">becomes</w:t>
      </w:r>
    </w:p>
    <w:p>
      <w:pPr>
        <w:pStyle w:val="BodyText"/>
      </w:pPr>
      <w:r>
        <w:t xml:space="preserve">√(2ε) = |V’/V − 2F’/F|</w:t>
      </w:r>
    </w:p>
    <w:p>
      <w:pPr>
        <w:pStyle w:val="BodyText"/>
      </w:pPr>
      <w:r>
        <w:t xml:space="preserve">The geometric term cancels the potential slope, producing a flattened effective potential:</w:t>
      </w:r>
    </w:p>
    <w:p>
      <w:pPr>
        <w:pStyle w:val="BodyText"/>
      </w:pPr>
      <w:r>
        <w:t xml:space="preserve">r(β) ≈ r0 (1 − γβ)^2</w:t>
      </w:r>
    </w:p>
    <w:p>
      <w:pPr>
        <w:pStyle w:val="BodyText"/>
      </w:pPr>
      <w:r>
        <w:t xml:space="preserve">Hence gravitational waves are suppressed without altering the scalar tilt mechanism.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predictions"/>
    <w:p>
      <w:pPr>
        <w:pStyle w:val="Heading2"/>
      </w:pPr>
      <w:r>
        <w:t xml:space="preserve">5. Observational Predictions</w:t>
      </w:r>
    </w:p>
    <w:p>
      <w:pPr>
        <w:pStyle w:val="FirstParagraph"/>
      </w:pPr>
      <w:r>
        <w:t xml:space="preserve">The model predicts a correlated trajectory:</w:t>
      </w:r>
    </w:p>
    <w:p>
      <w:pPr>
        <w:pStyle w:val="BodyText"/>
      </w:pPr>
      <w:r>
        <w:t xml:space="preserve">n_s ≈ 1 − 2/N − Cβ</w:t>
      </w:r>
      <w:r>
        <w:t xml:space="preserve"> </w:t>
      </w:r>
      <w:r>
        <w:t xml:space="preserve">r ≈ r0 (1 − γβ)^2</w:t>
      </w:r>
    </w:p>
    <w:p>
      <w:pPr>
        <w:pStyle w:val="BodyText"/>
      </w:pPr>
      <w:r>
        <w:t xml:space="preserve">Consequences:</w:t>
      </w:r>
      <w:r>
        <w:t xml:space="preserve"> </w:t>
      </w:r>
      <w:r>
        <w:t xml:space="preserve">- Starobinsky limit: β → 0</w:t>
      </w:r>
      <w:r>
        <w:t xml:space="preserve"> </w:t>
      </w:r>
      <w:r>
        <w:t xml:space="preserve">- Observed universe: β ≈ O(10^-2)</w:t>
      </w:r>
      <w:r>
        <w:t xml:space="preserve"> </w:t>
      </w:r>
      <w:r>
        <w:t xml:space="preserve">- Tensor amplitude: r ~ 10^-4</w:t>
      </w:r>
    </w:p>
    <w:p>
      <w:pPr>
        <w:pStyle w:val="BodyText"/>
      </w:pPr>
      <w:r>
        <w:t xml:space="preserve">This differs from α‑attractors where r varies independently of n_s.</w:t>
      </w:r>
    </w:p>
    <w:p>
      <w:r>
        <w:pict>
          <v:rect style="width:0;height:1.5pt" o:hralign="center" o:hrstd="t" o:hr="t"/>
        </w:pict>
      </w:r>
    </w:p>
    <w:bookmarkEnd w:id="25"/>
    <w:bookmarkStart w:id="26" w:name="robustness-and-naturalness"/>
    <w:p>
      <w:pPr>
        <w:pStyle w:val="Heading2"/>
      </w:pPr>
      <w:r>
        <w:t xml:space="preserve">6. Robustness and Naturalness</w:t>
      </w:r>
    </w:p>
    <w:p>
      <w:pPr>
        <w:pStyle w:val="FirstParagraph"/>
      </w:pPr>
      <w:r>
        <w:t xml:space="preserve">Parameter scans show:</w:t>
      </w:r>
      <w:r>
        <w:t xml:space="preserve"> </w:t>
      </w:r>
      <w:r>
        <w:t xml:space="preserve">- Broad range of χ0 produces correct tilt</w:t>
      </w:r>
      <w:r>
        <w:t xml:space="preserve"> </w:t>
      </w:r>
      <w:r>
        <w:t xml:space="preserve">- Natural Planck‑scale widths Δ ~ O(1–4)</w:t>
      </w:r>
      <w:r>
        <w:t xml:space="preserve"> </w:t>
      </w:r>
      <w:r>
        <w:t xml:space="preserve">- Continuous degeneracy band in parameter space</w:t>
      </w:r>
    </w:p>
    <w:p>
      <w:pPr>
        <w:pStyle w:val="BodyText"/>
      </w:pPr>
      <w:r>
        <w:t xml:space="preserve">Therefore the solution is an attractor rather than a fine‑tuned point.</w:t>
      </w:r>
    </w:p>
    <w:p>
      <w:r>
        <w:pict>
          <v:rect style="width:0;height:1.5pt" o:hralign="center" o:hrstd="t" o:hr="t"/>
        </w:pict>
      </w:r>
    </w:p>
    <w:bookmarkEnd w:id="26"/>
    <w:bookmarkStart w:id="27" w:name="physical-interpretation"/>
    <w:p>
      <w:pPr>
        <w:pStyle w:val="Heading2"/>
      </w:pPr>
      <w:r>
        <w:t xml:space="preserve">7. Physical Interpretation</w:t>
      </w:r>
    </w:p>
    <w:p>
      <w:pPr>
        <w:pStyle w:val="FirstParagraph"/>
      </w:pPr>
      <w:r>
        <w:t xml:space="preserve">Inflation occurs on the shoulder of a running gravitational coupling. The scalar field rolls down its potential while simultaneously climbing the Planck mass gradient. The balance defines a fixed observational point.</w:t>
      </w:r>
    </w:p>
    <w:p>
      <w:pPr>
        <w:pStyle w:val="BodyText"/>
      </w:pPr>
      <w:r>
        <w:t xml:space="preserve">The measured spectral index corresponds to a specific value of the gravitational beta function.</w:t>
      </w:r>
    </w:p>
    <w:p>
      <w:r>
        <w:pict>
          <v:rect style="width:0;height:1.5pt" o:hralign="center" o:hrstd="t" o:hr="t"/>
        </w:pict>
      </w:r>
    </w:p>
    <w:bookmarkEnd w:id="27"/>
    <w:bookmarkStart w:id="28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We have shown that:</w:t>
      </w:r>
      <w:r>
        <w:t xml:space="preserve"> </w:t>
      </w:r>
      <w:r>
        <w:t xml:space="preserve">1) The spectral tilt originates from curvature of the running Planck mass</w:t>
      </w:r>
      <w:r>
        <w:t xml:space="preserve"> </w:t>
      </w:r>
      <w:r>
        <w:t xml:space="preserve">2) The tensor suppression originates from its slope</w:t>
      </w:r>
      <w:r>
        <w:t xml:space="preserve"> </w:t>
      </w:r>
      <w:r>
        <w:t xml:space="preserve">3) The Gaussian deformation arises from RG flow expansion</w:t>
      </w:r>
      <w:r>
        <w:t xml:space="preserve"> </w:t>
      </w:r>
      <w:r>
        <w:t xml:space="preserve">4) The observed universe corresponds to a gravitational fixed trajectory</w:t>
      </w:r>
    </w:p>
    <w:p>
      <w:pPr>
        <w:pStyle w:val="BodyText"/>
      </w:pPr>
      <w:r>
        <w:t xml:space="preserve">This framework links inflationary observables directly to the renormalization structure of gravity rather than to a tuned scalar potential.</w:t>
      </w:r>
    </w:p>
    <w:p>
      <w:pPr>
        <w:pStyle w:val="BodyText"/>
      </w:pPr>
      <w:r>
        <w:t xml:space="preserve">Future CMB experiments capable of probing r ~ 10^-4 can test this prediction and distinguish running‑gravity inflation from standard attractor models.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2026-02-16T15:34:52Z</dcterms:created>
  <dcterms:modified xsi:type="dcterms:W3CDTF">2026-02-16T15:34:52Z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