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Active Screen Gravity: Running Planck Mass as the Origin of the Inflationary Attractor</w:t>
      </w:r>
    </w:p>
    <w:p/>
    <w:p>
      <w:r>
        <w:t>Abstract</w:t>
      </w:r>
    </w:p>
    <w:p>
      <w:r>
        <w:t>We propose a scalar–tensor framework in which the inflationary observables are governed by a renormalization–group (RG) flow of the gravitational coupling. Instead of modifying the inflaton potential directly, we allow the effective Planck mass to vary as a function of the scalar field, leading to an effective Einstein–frame potential U = V/F^2. We show analytically and numerically that the spectral tilt and tensor amplitude arise from geometric derivatives of F rather than from the shape of V. The model predicts a linear shift in n_s and a quadratic suppression of r, producing a characteristic trajectory in the (n_s, r) plane and an observational attractor consistent with current data.</w:t>
      </w:r>
    </w:p>
    <w:p/>
    <w:p>
      <w:r>
        <w:t>The Active Screen Gravity (ASG) model extends Starobinsky inflation by introducing a running effective Planck mass F(χ) motivated by renormalization group (RG) flow. Current CMB data constrain r to the 10^{-2} level, leaving plateau models observationally degenerate. The ASG prediction r ~ 10^{-4} lies well below present limits but within the projected sensitivity of future polarization missions such as LiteBIRD.</w:t>
      </w:r>
    </w:p>
    <w:p/>
    <w:p>
      <w:r>
        <w:t>Figure 1: ns-r trajectory</w:t>
      </w:r>
    </w:p>
    <w:p>
      <w:r>
        <w:drawing>
          <wp:inline xmlns:a="http://schemas.openxmlformats.org/drawingml/2006/main" xmlns:pic="http://schemas.openxmlformats.org/drawingml/2006/picture">
            <wp:extent cx="5029200" cy="3903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sr_trajectory_analyt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0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F(χ) and U(χ) overlays</w:t>
      </w:r>
    </w:p>
    <w:p>
      <w:r>
        <w:drawing>
          <wp:inline xmlns:a="http://schemas.openxmlformats.org/drawingml/2006/main" xmlns:pic="http://schemas.openxmlformats.org/drawingml/2006/picture">
            <wp:extent cx="5029200" cy="20082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U_overlay_analyt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826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