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ctive-screen-gravity-asg"/>
    <w:p>
      <w:pPr>
        <w:pStyle w:val="Heading1"/>
      </w:pPr>
      <w:r>
        <w:t xml:space="preserve">Active Screen Gravity (ASG)</w:t>
      </w:r>
    </w:p>
    <w:bookmarkStart w:id="20" w:name="X9185d03f37c2bcb5777e1ac722d76ba85080fed"/>
    <w:p>
      <w:pPr>
        <w:pStyle w:val="Heading2"/>
      </w:pPr>
      <w:r>
        <w:t xml:space="preserve">Running Planck Mass as the Origin of the Inflationary Attractor</w:t>
      </w:r>
    </w:p>
    <w:p>
      <w:r>
        <w:pict>
          <v:rect style="width:0;height:1.5pt" o:hralign="center" o:hrstd="t" o:hr="t"/>
        </w:pict>
      </w:r>
    </w:p>
    <w:bookmarkEnd w:id="20"/>
    <w:bookmarkStart w:id="21" w:name="conceptual-starting-point"/>
    <w:p>
      <w:pPr>
        <w:pStyle w:val="Heading2"/>
      </w:pPr>
      <w:r>
        <w:t xml:space="preserve">1. Conceptual Starting Point</w:t>
      </w:r>
    </w:p>
    <w:p>
      <w:pPr>
        <w:pStyle w:val="FirstParagraph"/>
      </w:pPr>
      <w:r>
        <w:t xml:space="preserve">Standard single–field inflation determines observable quantities primarily from the inflaton potential V(χ). The slow‑roll parameters</w:t>
      </w:r>
    </w:p>
    <w:p>
      <w:pPr>
        <w:pStyle w:val="BodyText"/>
      </w:pPr>
      <w:r>
        <w:t xml:space="preserve">ε_V = 1/2 (V’/V)^2</w:t>
      </w:r>
      <w:r>
        <w:t xml:space="preserve"> </w:t>
      </w:r>
      <w:r>
        <w:t xml:space="preserve">η_V = V’’/V</w:t>
      </w:r>
    </w:p>
    <w:p>
      <w:pPr>
        <w:pStyle w:val="BodyText"/>
      </w:pPr>
      <w:r>
        <w:t xml:space="preserve">lead to the well‑known predictions</w:t>
      </w:r>
    </w:p>
    <w:p>
      <w:pPr>
        <w:pStyle w:val="BodyText"/>
      </w:pPr>
      <w:r>
        <w:t xml:space="preserve">n_s ≈ 1 − 6ε_V + 2η_V</w:t>
      </w:r>
      <w:r>
        <w:t xml:space="preserve"> </w:t>
      </w:r>
      <w:r>
        <w:t xml:space="preserve">r = 16ε_V</w:t>
      </w:r>
    </w:p>
    <w:p>
      <w:pPr>
        <w:pStyle w:val="BodyText"/>
      </w:pPr>
      <w:r>
        <w:t xml:space="preserve">Therefore almost every inflation model reduces to shaping V(χ).</w:t>
      </w:r>
    </w:p>
    <w:p>
      <w:pPr>
        <w:pStyle w:val="BodyText"/>
      </w:pPr>
      <w:r>
        <w:t xml:space="preserve">Active Screen Gravity (ASG) proposes a different premise:</w:t>
      </w:r>
    </w:p>
    <w:p>
      <w:pPr>
        <w:pStyle w:val="BlockText"/>
      </w:pPr>
      <w:r>
        <w:t xml:space="preserve">The geometry of gravity — not the potential — determines the observables.</w:t>
      </w:r>
    </w:p>
    <w:p>
      <w:pPr>
        <w:pStyle w:val="FirstParagraph"/>
      </w:pPr>
      <w:r>
        <w:t xml:space="preserve">We promote the Planck mass to a field‑dependent quantity</w:t>
      </w:r>
    </w:p>
    <w:p>
      <w:pPr>
        <w:pStyle w:val="BodyText"/>
      </w:pPr>
      <w:r>
        <w:t xml:space="preserve">M_Pl^2 → F(χ)</w:t>
      </w:r>
    </w:p>
    <w:p>
      <w:pPr>
        <w:pStyle w:val="BodyText"/>
      </w:pPr>
      <w:r>
        <w:t xml:space="preserve">so the action becomes a scalar–tensor theory</w:t>
      </w:r>
    </w:p>
    <w:p>
      <w:pPr>
        <w:pStyle w:val="BodyText"/>
      </w:pPr>
      <w:r>
        <w:t xml:space="preserve">S = ∫ d^4x √−g [ F(χ) R − 1/2 (∂χ)^2 − V(χ) ]</w:t>
      </w:r>
    </w:p>
    <w:p>
      <w:pPr>
        <w:pStyle w:val="BodyText"/>
      </w:pPr>
      <w:r>
        <w:t xml:space="preserve">The physical content of ASG is not merely scalar‑tensor gravity. The claim is stronger:</w:t>
      </w:r>
    </w:p>
    <w:p>
      <w:pPr>
        <w:pStyle w:val="BodyText"/>
      </w:pPr>
      <w:r>
        <w:rPr>
          <w:b/>
          <w:bCs/>
        </w:rPr>
        <w:t xml:space="preserve">Inflationary attractor behavior arises from a localized RG running of the gravitational coupling.</w:t>
      </w:r>
    </w:p>
    <w:p>
      <w:r>
        <w:pict>
          <v:rect style="width:0;height:1.5pt" o:hralign="center" o:hrstd="t" o:hr="t"/>
        </w:pict>
      </w:r>
    </w:p>
    <w:bookmarkEnd w:id="21"/>
    <w:bookmarkStart w:id="22" w:name="einstein-frame-dynamics"/>
    <w:p>
      <w:pPr>
        <w:pStyle w:val="Heading2"/>
      </w:pPr>
      <w:r>
        <w:t xml:space="preserve">2. Einstein Frame Dynamics</w:t>
      </w:r>
    </w:p>
    <w:p>
      <w:pPr>
        <w:pStyle w:val="FirstParagraph"/>
      </w:pPr>
      <w:r>
        <w:t xml:space="preserve">Apply conformal transformation</w:t>
      </w:r>
    </w:p>
    <w:p>
      <w:pPr>
        <w:pStyle w:val="BodyText"/>
      </w:pPr>
      <w:r>
        <w:t xml:space="preserve">ĝ_{μν} = F(χ) g_{μν}</w:t>
      </w:r>
    </w:p>
    <w:p>
      <w:pPr>
        <w:pStyle w:val="BodyText"/>
      </w:pPr>
      <w:r>
        <w:t xml:space="preserve">The Einstein‑frame action becomes</w:t>
      </w:r>
    </w:p>
    <w:p>
      <w:pPr>
        <w:pStyle w:val="BodyText"/>
      </w:pPr>
      <w:r>
        <w:t xml:space="preserve">S_E = ∫ d^4x √−ĝ [ R/2 − 1/2 K(χ)(∂χ)^2 − U(χ) ]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U(χ) = V(χ)/F(χ)^2</w:t>
      </w:r>
      <w:r>
        <w:t xml:space="preserve"> </w:t>
      </w:r>
      <w:r>
        <w:t xml:space="preserve">K(χ) = 1/F + 3/2 (F’/F)^2</w:t>
      </w:r>
    </w:p>
    <w:p>
      <w:pPr>
        <w:pStyle w:val="BodyText"/>
      </w:pPr>
      <w:r>
        <w:t xml:space="preserve">Canonical field φ is defined by</w:t>
      </w:r>
    </w:p>
    <w:p>
      <w:pPr>
        <w:pStyle w:val="BodyText"/>
      </w:pPr>
      <w:r>
        <w:t xml:space="preserve">dφ/dχ = √K(χ)</w:t>
      </w:r>
    </w:p>
    <w:p>
      <w:pPr>
        <w:pStyle w:val="BodyText"/>
      </w:pPr>
      <w:r>
        <w:t xml:space="preserve">Thus inflation effectively occurs in a curved field‑space metric even with a trivial kinetic term in the Jordan frame.</w:t>
      </w:r>
    </w:p>
    <w:p>
      <w:r>
        <w:pict>
          <v:rect style="width:0;height:1.5pt" o:hralign="center" o:hrstd="t" o:hr="t"/>
        </w:pict>
      </w:r>
    </w:p>
    <w:bookmarkEnd w:id="22"/>
    <w:bookmarkStart w:id="23" w:name="slowroll-geometry"/>
    <w:p>
      <w:pPr>
        <w:pStyle w:val="Heading2"/>
      </w:pPr>
      <w:r>
        <w:t xml:space="preserve">3. Slow‑Roll Geometry</w:t>
      </w:r>
    </w:p>
    <w:p>
      <w:pPr>
        <w:pStyle w:val="FirstParagraph"/>
      </w:pPr>
      <w:r>
        <w:t xml:space="preserve">In terms of U(χ):</w:t>
      </w:r>
    </w:p>
    <w:p>
      <w:pPr>
        <w:pStyle w:val="BodyText"/>
      </w:pPr>
      <w:r>
        <w:t xml:space="preserve">ε = 1/2 (U’/U)^2</w:t>
      </w:r>
      <w:r>
        <w:t xml:space="preserve"> </w:t>
      </w:r>
      <w:r>
        <w:t xml:space="preserve">η = U’’/U</w:t>
      </w:r>
    </w:p>
    <w:p>
      <w:pPr>
        <w:pStyle w:val="BodyText"/>
      </w:pPr>
      <w:r>
        <w:t xml:space="preserve">Using U = V/F²:</w:t>
      </w:r>
    </w:p>
    <w:p>
      <w:pPr>
        <w:pStyle w:val="BodyText"/>
      </w:pPr>
      <w:r>
        <w:t xml:space="preserve">U’/U = V’/V − 2F’/F</w:t>
      </w:r>
      <w:r>
        <w:t xml:space="preserve"> </w:t>
      </w:r>
      <w:r>
        <w:t xml:space="preserve">U’</w:t>
      </w:r>
      <w:r>
        <w:t xml:space="preserve">‘/U = V’</w:t>
      </w:r>
      <w:r>
        <w:t xml:space="preserve">‘/V − 4(V’</w:t>
      </w:r>
      <w:r>
        <w:t xml:space="preserve">/V)(F’/F) + 6(F’/F)^2 − 2F’’/F</w:t>
      </w:r>
    </w:p>
    <w:p>
      <w:pPr>
        <w:pStyle w:val="BodyText"/>
      </w:pPr>
      <w:r>
        <w:t xml:space="preserve">In plateau models V’/V ≪ 1 and V’’/V ≪ 1 so</w:t>
      </w:r>
    </w:p>
    <w:p>
      <w:pPr>
        <w:pStyle w:val="BodyText"/>
      </w:pPr>
      <w:r>
        <w:t xml:space="preserve">η ≈ −2F’</w:t>
      </w:r>
      <w:r>
        <w:t xml:space="preserve">‘/F</w:t>
      </w:r>
      <w:r>
        <w:t xml:space="preserve"> </w:t>
      </w:r>
      <w:r>
        <w:t xml:space="preserve">ε ≈ 2(F’</w:t>
      </w:r>
      <w:r>
        <w:t xml:space="preserve">/F)^2</w:t>
      </w:r>
    </w:p>
    <w:p>
      <w:pPr>
        <w:pStyle w:val="BodyText"/>
      </w:pPr>
      <w:r>
        <w:t xml:space="preserve">Therefore</w:t>
      </w:r>
    </w:p>
    <w:p>
      <w:pPr>
        <w:pStyle w:val="BodyText"/>
      </w:pPr>
      <w:r>
        <w:t xml:space="preserve">n_s − 1 ≈ −4F’</w:t>
      </w:r>
      <w:r>
        <w:t xml:space="preserve">‘/F</w:t>
      </w:r>
      <w:r>
        <w:t xml:space="preserve"> </w:t>
      </w:r>
      <w:r>
        <w:t xml:space="preserve">r ≈ 32(F’</w:t>
      </w:r>
      <w:r>
        <w:t xml:space="preserve">/F)^2</w:t>
      </w:r>
    </w:p>
    <w:p>
      <w:pPr>
        <w:pStyle w:val="BodyText"/>
      </w:pPr>
      <w:r>
        <w:t xml:space="preserve">Key physical result:</w:t>
      </w:r>
    </w:p>
    <w:p>
      <w:pPr>
        <w:pStyle w:val="BodyText"/>
      </w:pPr>
      <w:r>
        <w:t xml:space="preserve">Tilt ↔ curvature of Planck mass</w:t>
      </w:r>
      <w:r>
        <w:t xml:space="preserve"> </w:t>
      </w:r>
      <w:r>
        <w:t xml:space="preserve">Tensor ↔ slope of Planck mass</w:t>
      </w:r>
    </w:p>
    <w:p>
      <w:pPr>
        <w:pStyle w:val="BodyText"/>
      </w:pPr>
      <w:r>
        <w:t xml:space="preserve">This creates a deterministic relation between observables.</w:t>
      </w:r>
    </w:p>
    <w:p>
      <w:r>
        <w:pict>
          <v:rect style="width:0;height:1.5pt" o:hralign="center" o:hrstd="t" o:hr="t"/>
        </w:pict>
      </w:r>
    </w:p>
    <w:bookmarkEnd w:id="23"/>
    <w:bookmarkStart w:id="24" w:name="renormalization-group-origin"/>
    <w:p>
      <w:pPr>
        <w:pStyle w:val="Heading2"/>
      </w:pPr>
      <w:r>
        <w:t xml:space="preserve">4. Renormalization Group Origin</w:t>
      </w:r>
    </w:p>
    <w:p>
      <w:pPr>
        <w:pStyle w:val="FirstParagraph"/>
      </w:pPr>
      <w:r>
        <w:t xml:space="preserve">We assume gravitational coupling runs with energy scale μ</w:t>
      </w:r>
    </w:p>
    <w:p>
      <w:pPr>
        <w:pStyle w:val="BodyText"/>
      </w:pPr>
      <w:r>
        <w:t xml:space="preserve">G = 1/F</w:t>
      </w:r>
    </w:p>
    <w:p>
      <w:pPr>
        <w:pStyle w:val="BodyText"/>
      </w:pPr>
      <w:r>
        <w:t xml:space="preserve">dG/d ln μ = β(G)</w:t>
      </w:r>
    </w:p>
    <w:p>
      <w:pPr>
        <w:pStyle w:val="BodyText"/>
      </w:pPr>
      <w:r>
        <w:t xml:space="preserve">Near a threshold scale μ₀ the beta function is localized</w:t>
      </w:r>
    </w:p>
    <w:p>
      <w:pPr>
        <w:pStyle w:val="BodyText"/>
      </w:pPr>
      <w:r>
        <w:t xml:space="preserve">β(G, μ) ≈ a₀ G² exp[−(ln μ − ln μ₀)² / σ²]</w:t>
      </w:r>
    </w:p>
    <w:p>
      <w:pPr>
        <w:pStyle w:val="BodyText"/>
      </w:pPr>
      <w:r>
        <w:t xml:space="preserve">Integrating:</w:t>
      </w:r>
    </w:p>
    <w:p>
      <w:pPr>
        <w:pStyle w:val="BodyText"/>
      </w:pPr>
      <w:r>
        <w:t xml:space="preserve">ΔG(μ) ≈ G₀² ∫ a(μ) d ln μ</w:t>
      </w:r>
    </w:p>
    <w:p>
      <w:pPr>
        <w:pStyle w:val="BodyText"/>
      </w:pPr>
      <w:r>
        <w:t xml:space="preserve">This produces a smooth step in G(μ):</w:t>
      </w:r>
    </w:p>
    <w:p>
      <w:pPr>
        <w:pStyle w:val="BodyText"/>
      </w:pPr>
      <w:r>
        <w:t xml:space="preserve">G(μ) ≈ G₀ [ 1 + A erf((ln μ − ln μ₀)/σ) ]</w:t>
      </w:r>
    </w:p>
    <w:p>
      <w:pPr>
        <w:pStyle w:val="BodyText"/>
      </w:pPr>
      <w:r>
        <w:t xml:space="preserve">Identifying the field amplitude as the RG scale</w:t>
      </w:r>
    </w:p>
    <w:p>
      <w:pPr>
        <w:pStyle w:val="BodyText"/>
      </w:pPr>
      <w:r>
        <w:t xml:space="preserve">ln μ ∝ χ</w:t>
      </w:r>
    </w:p>
    <w:p>
      <w:pPr>
        <w:pStyle w:val="BodyText"/>
      </w:pPr>
      <w:r>
        <w:t xml:space="preserve">The derivative becomes Gaussian</w:t>
      </w:r>
    </w:p>
    <w:p>
      <w:pPr>
        <w:pStyle w:val="BodyText"/>
      </w:pPr>
      <w:r>
        <w:t xml:space="preserve">∂χG ∝ exp[−(χ − χ₀)² / Δ²]</w:t>
      </w:r>
    </w:p>
    <w:p>
      <w:pPr>
        <w:pStyle w:val="BodyText"/>
      </w:pPr>
      <w:r>
        <w:t xml:space="preserve">Hence</w:t>
      </w:r>
    </w:p>
    <w:p>
      <w:pPr>
        <w:pStyle w:val="BodyText"/>
      </w:pPr>
      <w:r>
        <w:t xml:space="preserve">F(χ) ≈ 1 + β exp[−(χ − χ₀)² / Δ²]</w:t>
      </w:r>
    </w:p>
    <w:p>
      <w:pPr>
        <w:pStyle w:val="BodyText"/>
      </w:pPr>
      <w:r>
        <w:t xml:space="preserve">Thus the Gaussian deformation is the leading field‑space imprint of a gravitational RG threshold.</w:t>
      </w:r>
    </w:p>
    <w:p>
      <w:r>
        <w:pict>
          <v:rect style="width:0;height:1.5pt" o:hralign="center" o:hrstd="t" o:hr="t"/>
        </w:pict>
      </w:r>
    </w:p>
    <w:bookmarkEnd w:id="24"/>
    <w:bookmarkStart w:id="25" w:name="attractor-mechanism"/>
    <w:p>
      <w:pPr>
        <w:pStyle w:val="Heading2"/>
      </w:pPr>
      <w:r>
        <w:t xml:space="preserve">5. Attractor Mechanism</w:t>
      </w:r>
    </w:p>
    <w:p>
      <w:pPr>
        <w:pStyle w:val="FirstParagraph"/>
      </w:pPr>
      <w:r>
        <w:t xml:space="preserve">The number of e‑folds is</w:t>
      </w:r>
    </w:p>
    <w:p>
      <w:pPr>
        <w:pStyle w:val="BodyText"/>
      </w:pPr>
      <w:r>
        <w:t xml:space="preserve">N = ∫ U/U’ dχ</w:t>
      </w:r>
    </w:p>
    <w:p>
      <w:pPr>
        <w:pStyle w:val="BodyText"/>
      </w:pPr>
      <w:r>
        <w:t xml:space="preserve">Substitute U’/U:</w:t>
      </w:r>
    </w:p>
    <w:p>
      <w:pPr>
        <w:pStyle w:val="BodyText"/>
      </w:pPr>
      <w:r>
        <w:t xml:space="preserve">N = ∫ 1/(V’/V − 2F’/F) dχ</w:t>
      </w:r>
    </w:p>
    <w:p>
      <w:pPr>
        <w:pStyle w:val="BodyText"/>
      </w:pPr>
      <w:r>
        <w:t xml:space="preserve">When F’/F ≈ V’/(2V)</w:t>
      </w:r>
    </w:p>
    <w:p>
      <w:pPr>
        <w:pStyle w:val="BodyText"/>
      </w:pPr>
      <w:r>
        <w:t xml:space="preserve">Denominator approaches zero → plateau formation</w:t>
      </w:r>
    </w:p>
    <w:p>
      <w:pPr>
        <w:pStyle w:val="BodyText"/>
      </w:pPr>
      <w:r>
        <w:t xml:space="preserve">Therefore inflation automatically stabilizes near the RG transition scale χ₀.</w:t>
      </w:r>
    </w:p>
    <w:p>
      <w:pPr>
        <w:pStyle w:val="BodyText"/>
      </w:pPr>
      <w:r>
        <w:t xml:space="preserve">This creates a dynamical fixed trajectory rather than a tuned point.</w:t>
      </w:r>
    </w:p>
    <w:p>
      <w:r>
        <w:pict>
          <v:rect style="width:0;height:1.5pt" o:hralign="center" o:hrstd="t" o:hr="t"/>
        </w:pict>
      </w:r>
    </w:p>
    <w:bookmarkEnd w:id="25"/>
    <w:bookmarkStart w:id="26" w:name="perturbations-mukhanovsasaki"/>
    <w:p>
      <w:pPr>
        <w:pStyle w:val="Heading2"/>
      </w:pPr>
      <w:r>
        <w:t xml:space="preserve">6. Perturbations (Mukhanov–Sasaki)</w:t>
      </w:r>
    </w:p>
    <w:p>
      <w:pPr>
        <w:pStyle w:val="FirstParagraph"/>
      </w:pPr>
      <w:r>
        <w:t xml:space="preserve">Scalar perturbations obey</w:t>
      </w:r>
    </w:p>
    <w:p>
      <w:pPr>
        <w:pStyle w:val="BodyText"/>
      </w:pPr>
      <w:r>
        <w:t xml:space="preserve">v_k’’ + (k² − z’’/z) v_k = 0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z = a φ’/H</w:t>
      </w:r>
    </w:p>
    <w:p>
      <w:pPr>
        <w:pStyle w:val="BodyText"/>
      </w:pPr>
      <w:r>
        <w:t xml:space="preserve">Because φ’(χ) depends on F’/F, the effective mass term becomes</w:t>
      </w:r>
    </w:p>
    <w:p>
      <w:pPr>
        <w:pStyle w:val="BodyText"/>
      </w:pPr>
      <w:r>
        <w:t xml:space="preserve">z’</w:t>
      </w:r>
      <w:r>
        <w:t xml:space="preserve">‘/z ≈ a²H²(2 + 6(F’</w:t>
      </w:r>
      <w:r>
        <w:t xml:space="preserve">/F)^2 − 4F’’/F)</w:t>
      </w:r>
    </w:p>
    <w:p>
      <w:pPr>
        <w:pStyle w:val="BodyText"/>
      </w:pPr>
      <w:r>
        <w:t xml:space="preserve">Therefore curvature of the running Planck mass directly modifies the scalar spectrum.</w:t>
      </w:r>
    </w:p>
    <w:p>
      <w:pPr>
        <w:pStyle w:val="BodyText"/>
      </w:pPr>
      <w:r>
        <w:t xml:space="preserve">Tensor modes obey</w:t>
      </w:r>
    </w:p>
    <w:p>
      <w:pPr>
        <w:pStyle w:val="BodyText"/>
      </w:pPr>
      <w:r>
        <w:t xml:space="preserve">u_k’’ + (k² − a’’/a) ν_k = 0</w:t>
      </w:r>
    </w:p>
    <w:p>
      <w:pPr>
        <w:pStyle w:val="BodyText"/>
      </w:pPr>
      <w:r>
        <w:t xml:space="preserve">and depend only on H² ∝ U, so suppression of ε suppresses r.</w:t>
      </w:r>
    </w:p>
    <w:p>
      <w:r>
        <w:pict>
          <v:rect style="width:0;height:1.5pt" o:hralign="center" o:hrstd="t" o:hr="t"/>
        </w:pict>
      </w:r>
    </w:p>
    <w:bookmarkEnd w:id="26"/>
    <w:bookmarkStart w:id="27" w:name="observational-prediction"/>
    <w:p>
      <w:pPr>
        <w:pStyle w:val="Heading2"/>
      </w:pPr>
      <w:r>
        <w:t xml:space="preserve">7. Observational Prediction</w:t>
      </w:r>
    </w:p>
    <w:p>
      <w:pPr>
        <w:pStyle w:val="FirstParagraph"/>
      </w:pPr>
      <w:r>
        <w:t xml:space="preserve">ASG predicts a trajectory in the (n_s , r) plane:</w:t>
      </w:r>
    </w:p>
    <w:p>
      <w:pPr>
        <w:pStyle w:val="BodyText"/>
      </w:pPr>
      <w:r>
        <w:t xml:space="preserve">n_s ≈ 1 − 2/N − Cβ</w:t>
      </w:r>
      <w:r>
        <w:t xml:space="preserve"> </w:t>
      </w:r>
      <w:r>
        <w:t xml:space="preserve">r ≈ r₀(1 − γβ)²</w:t>
      </w:r>
    </w:p>
    <w:p>
      <w:pPr>
        <w:pStyle w:val="BodyText"/>
      </w:pPr>
      <w:r>
        <w:t xml:space="preserve">Therefore decreasing r forces n_s to shift red.</w:t>
      </w:r>
    </w:p>
    <w:p>
      <w:pPr>
        <w:pStyle w:val="BodyText"/>
      </w:pPr>
      <w:r>
        <w:t xml:space="preserve">This differs fundamentally from α‑attractors where r is independently adjustable.</w:t>
      </w:r>
    </w:p>
    <w:p>
      <w:r>
        <w:pict>
          <v:rect style="width:0;height:1.5pt" o:hralign="center" o:hrstd="t" o:hr="t"/>
        </w:pict>
      </w:r>
    </w:p>
    <w:bookmarkEnd w:id="27"/>
    <w:bookmarkStart w:id="28" w:name="physical-interpretation"/>
    <w:p>
      <w:pPr>
        <w:pStyle w:val="Heading2"/>
      </w:pPr>
      <w:r>
        <w:t xml:space="preserve">8. Physical Interpretation</w:t>
      </w:r>
    </w:p>
    <w:p>
      <w:pPr>
        <w:pStyle w:val="FirstParagraph"/>
      </w:pPr>
      <w:r>
        <w:t xml:space="preserve">Inflation occurs while the scalar field climbs a gravitational screening barrier produced by RG flow.</w:t>
      </w:r>
    </w:p>
    <w:p>
      <w:pPr>
        <w:pStyle w:val="BodyText"/>
      </w:pPr>
      <w:r>
        <w:t xml:space="preserve">The universe we observe corresponds to the location where the RG transition balances the potential slope.</w:t>
      </w:r>
    </w:p>
    <w:p>
      <w:pPr>
        <w:pStyle w:val="BodyText"/>
      </w:pPr>
      <w:r>
        <w:t xml:space="preserve">Hence cosmic microwave background observables encode a property of quantum gravity running rather than the inflaton potential.</w:t>
      </w:r>
    </w:p>
    <w:p>
      <w:r>
        <w:pict>
          <v:rect style="width:0;height:1.5pt" o:hralign="center" o:hrstd="t" o:hr="t"/>
        </w:pict>
      </w:r>
    </w:p>
    <w:bookmarkEnd w:id="28"/>
    <w:bookmarkStart w:id="29" w:name="what-the-theory-proves"/>
    <w:p>
      <w:pPr>
        <w:pStyle w:val="Heading2"/>
      </w:pPr>
      <w:r>
        <w:t xml:space="preserve">9. What the Theory Proves</w:t>
      </w:r>
    </w:p>
    <w:p>
      <w:pPr>
        <w:pStyle w:val="FirstParagraph"/>
      </w:pPr>
      <w:r>
        <w:t xml:space="preserve">The model demonstrates:</w:t>
      </w:r>
    </w:p>
    <w:p>
      <w:pPr>
        <w:pStyle w:val="Compact"/>
        <w:numPr>
          <w:ilvl w:val="0"/>
          <w:numId w:val="1001"/>
        </w:numPr>
      </w:pPr>
      <w:r>
        <w:t xml:space="preserve">Inflationary attractors can arise from gravitational coupling flow</w:t>
      </w:r>
    </w:p>
    <w:p>
      <w:pPr>
        <w:pStyle w:val="Compact"/>
        <w:numPr>
          <w:ilvl w:val="0"/>
          <w:numId w:val="1001"/>
        </w:numPr>
      </w:pPr>
      <w:r>
        <w:t xml:space="preserve">Observables can depend on geometry rather than matter dynamics</w:t>
      </w:r>
    </w:p>
    <w:p>
      <w:pPr>
        <w:pStyle w:val="Compact"/>
        <w:numPr>
          <w:ilvl w:val="0"/>
          <w:numId w:val="1001"/>
        </w:numPr>
      </w:pPr>
      <w:r>
        <w:t xml:space="preserve">Tensor suppression does not require flattening the scalar potential</w:t>
      </w:r>
    </w:p>
    <w:p>
      <w:pPr>
        <w:pStyle w:val="Compact"/>
        <w:numPr>
          <w:ilvl w:val="0"/>
          <w:numId w:val="1001"/>
        </w:numPr>
      </w:pPr>
      <w:r>
        <w:t xml:space="preserve">The spectral index measures the curvature of quantum gravitational running</w:t>
      </w:r>
    </w:p>
    <w:p>
      <w:pPr>
        <w:pStyle w:val="FirstParagraph"/>
      </w:pPr>
      <w:r>
        <w:t xml:space="preserve">Thus ASG reframes inflation as a probe of gravitational renormalization physics rather than particle physics model building.</w:t>
      </w:r>
    </w:p>
    <w:p>
      <w:r>
        <w:pict>
          <v:rect style="width:0;height:1.5pt" o:hralign="center" o:hrstd="t" o:hr="t"/>
        </w:pict>
      </w:r>
    </w:p>
    <w:bookmarkEnd w:id="29"/>
    <w:bookmarkStart w:id="30" w:name="falsifiability"/>
    <w:p>
      <w:pPr>
        <w:pStyle w:val="Heading2"/>
      </w:pPr>
      <w:r>
        <w:t xml:space="preserve">10. Falsifiability</w:t>
      </w:r>
    </w:p>
    <w:p>
      <w:pPr>
        <w:pStyle w:val="FirstParagraph"/>
      </w:pPr>
      <w:r>
        <w:t xml:space="preserve">Predictions:</w:t>
      </w:r>
    </w:p>
    <w:p>
      <w:pPr>
        <w:pStyle w:val="BodyText"/>
      </w:pPr>
      <w:r>
        <w:t xml:space="preserve">If r ≈ 0.003 → potential‑driven inflation</w:t>
      </w:r>
      <w:r>
        <w:t xml:space="preserve"> </w:t>
      </w:r>
      <w:r>
        <w:t xml:space="preserve">If r ≪ 10⁻³ with slightly redder n_s → ASG‑type running gravity</w:t>
      </w:r>
    </w:p>
    <w:p>
      <w:pPr>
        <w:pStyle w:val="BodyText"/>
      </w:pPr>
      <w:r>
        <w:t xml:space="preserve">Future CMB missions provide a decisive test.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2026-02-17T08:14:11Z</dcterms:created>
  <dcterms:modified xsi:type="dcterms:W3CDTF">2026-02-17T08:14:11Z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