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Active Screen Gravity: Running Planck Mass as the Origin of the Inflationary Attractor</w:t>
      </w:r>
    </w:p>
    <w:p>
      <w:pPr>
        <w:pStyle w:val="Heading2"/>
      </w:pPr>
      <w:r>
        <w:t>Abstract</w:t>
      </w:r>
    </w:p>
    <w:p>
      <w:r>
        <w:t xml:space="preserve">We present a scalar–tensor cosmological model in which inflation is driven by the running of the effective Planck mass rather than by tuning of the inflaton potential. </w:t>
        <w:br/>
        <w:t xml:space="preserve">A localized deformation of the gravitational coupling generates an ultra‑flat effective potential via dynamical slope cancellation. </w:t>
        <w:br/>
        <w:t xml:space="preserve">The spectral index is controlled by curvature of the Planck mass while the tensor amplitude depends on its slope, producing a correlated trajectory in the (n_s, r) plane. </w:t>
        <w:br/>
        <w:t>The framework preserves single‑field consistency relations and predicts r ~ 10^-4 without fine tuning.</w:t>
      </w:r>
    </w:p>
    <w:p>
      <w:pPr>
        <w:pStyle w:val="Heading2"/>
      </w:pPr>
      <w:r>
        <w:t>1. Introduction</w:t>
      </w:r>
    </w:p>
    <w:p>
      <w:r>
        <w:t>Standard inflationary models typically assume a flat potential. Active Screen Gravity instead attributes flatness to geometry: a varying gravitational coupling modifies the Einstein‑frame potential.</w:t>
      </w:r>
    </w:p>
    <w:p>
      <w:pPr>
        <w:pStyle w:val="Heading2"/>
      </w:pPr>
      <w:r>
        <w:t>2. Jordan Frame Action</w:t>
      </w:r>
    </w:p>
    <w:p>
      <w:pPr>
        <w:jc w:val="center"/>
      </w:pPr>
      <w:r>
        <w:rPr>
          <w:i/>
        </w:rPr>
        <w:t>S = ∫ d^4x √−g [ F(χ) R − 1/2 (∂χ)^2 − V(χ) ]</w:t>
      </w:r>
    </w:p>
    <w:p>
      <w:r>
        <w:t>A conformal transformation to the Einstein frame produces an effective potential:</w:t>
      </w:r>
    </w:p>
    <w:p>
      <w:pPr>
        <w:jc w:val="center"/>
      </w:pPr>
      <w:r>
        <w:rPr>
          <w:i/>
        </w:rPr>
        <w:t>U(χ) = V(χ)/F(χ)^2</w:t>
      </w:r>
    </w:p>
    <w:p>
      <w:pPr>
        <w:pStyle w:val="Heading2"/>
      </w:pPr>
      <w:r>
        <w:t>3. Renormalization Group Origin</w:t>
      </w:r>
    </w:p>
    <w:p>
      <w:pPr>
        <w:jc w:val="center"/>
      </w:pPr>
      <w:r>
        <w:rPr>
          <w:i/>
        </w:rPr>
        <w:t>dG/d ln μ = a G^2</w:t>
      </w:r>
    </w:p>
    <w:p>
      <w:pPr>
        <w:jc w:val="center"/>
      </w:pPr>
      <w:r>
        <w:rPr>
          <w:i/>
        </w:rPr>
        <w:t>G(μ)=G0/(1 − aG0 ln(μ/μ0))</w:t>
      </w:r>
    </w:p>
    <w:p>
      <w:r>
        <w:t>Threshold decoupling yields a localized deformation approximated by:</w:t>
      </w:r>
    </w:p>
    <w:p>
      <w:pPr>
        <w:jc w:val="center"/>
      </w:pPr>
      <w:r>
        <w:rPr>
          <w:i/>
        </w:rPr>
        <w:t>F(χ)=1 + β exp[−(χ−χ0)^2/Δ^2]</w:t>
      </w:r>
    </w:p>
    <w:p>
      <w:pPr>
        <w:pStyle w:val="Heading2"/>
      </w:pPr>
      <w:r>
        <w:t>4. Slow-roll Dynamics</w:t>
      </w:r>
    </w:p>
    <w:p>
      <w:pPr>
        <w:jc w:val="center"/>
      </w:pPr>
      <w:r>
        <w:rPr>
          <w:i/>
        </w:rPr>
        <w:t>ε = 1/2 (U'/U)^2</w:t>
      </w:r>
    </w:p>
    <w:p>
      <w:pPr>
        <w:jc w:val="center"/>
      </w:pPr>
      <w:r>
        <w:rPr>
          <w:i/>
        </w:rPr>
        <w:t>η = U''/U</w:t>
      </w:r>
    </w:p>
    <w:p>
      <w:pPr>
        <w:jc w:val="center"/>
      </w:pPr>
      <w:r>
        <w:rPr>
          <w:i/>
        </w:rPr>
        <w:t>n_s = 1 − 6ε + 2η</w:t>
      </w:r>
    </w:p>
    <w:p>
      <w:pPr>
        <w:jc w:val="center"/>
      </w:pPr>
      <w:r>
        <w:rPr>
          <w:i/>
        </w:rPr>
        <w:t>r = 16ε</w:t>
      </w:r>
    </w:p>
    <w:p>
      <w:r>
        <w:t>Cancellation between V'/V and F'/F produces an attractor solution.</w:t>
      </w:r>
    </w:p>
    <w:p>
      <w:pPr>
        <w:pStyle w:val="Heading2"/>
      </w:pPr>
      <w:r>
        <w:t>5. Tensor Sector</w:t>
      </w:r>
    </w:p>
    <w:p>
      <w:pPr>
        <w:jc w:val="center"/>
      </w:pPr>
      <w:r>
        <w:rPr>
          <w:i/>
        </w:rPr>
        <w:t>n_T = −2ε</w:t>
      </w:r>
    </w:p>
    <w:p>
      <w:pPr>
        <w:jc w:val="center"/>
      </w:pPr>
      <w:r>
        <w:rPr>
          <w:i/>
        </w:rPr>
        <w:t>r = −8 n_T</w:t>
      </w:r>
    </w:p>
    <w:p>
      <w:r>
        <w:t>Consistency relation preserved; tensors propagate at light speed.</w:t>
      </w:r>
    </w:p>
    <w:p>
      <w:pPr>
        <w:pStyle w:val="Heading2"/>
      </w:pPr>
      <w:r>
        <w:t>6. Observational Predictions</w:t>
      </w:r>
    </w:p>
    <w:p>
      <w:r>
        <w:t>The model predicts n_s ≈ 0.965–0.97 and r ≈ 10^-4 forming a correlated trajectory distinct from α‑attractors.</w:t>
      </w:r>
    </w:p>
    <w:p>
      <w:pPr>
        <w:pStyle w:val="Heading2"/>
      </w:pPr>
      <w:r>
        <w:t>Figures</w:t>
      </w:r>
    </w:p>
    <w:p>
      <w:r>
        <w:drawing>
          <wp:inline xmlns:a="http://schemas.openxmlformats.org/drawingml/2006/main" xmlns:pic="http://schemas.openxmlformats.org/drawingml/2006/picture">
            <wp:extent cx="5029200" cy="3771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U_pl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1: Planck mass deformation and effective potential</w:t>
      </w:r>
    </w:p>
    <w:p>
      <w:r>
        <w:drawing>
          <wp:inline xmlns:a="http://schemas.openxmlformats.org/drawingml/2006/main" xmlns:pic="http://schemas.openxmlformats.org/drawingml/2006/picture">
            <wp:extent cx="5029200" cy="36637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s_r_pl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63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2: Predicted trajectory in the (n_s, r) plane</w:t>
      </w:r>
    </w:p>
    <w:p>
      <w:pPr>
        <w:pStyle w:val="Heading2"/>
      </w:pPr>
      <w:r>
        <w:t>Conclusion</w:t>
      </w:r>
    </w:p>
    <w:p>
      <w:r>
        <w:t>Inflation arises from geometry rather than potential shape, providing a new mechanism testable by future CMB experiments.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