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Active Screen Gravity: Running Planck Mass as the Origin of the Inflationary Attractor</w:t>
      </w:r>
    </w:p>
    <w:p>
      <w:r>
        <w:t>We present a scalar–tensor framework in which inflationary observables arise from a running effective Planck mass. The model produces a correlated trajectory in the (n_s, r) plane and predicts r ~ 10^-4 without fine tuning.</w:t>
      </w:r>
    </w:p>
    <w:p>
      <w:pPr>
        <w:pStyle w:val="Heading2"/>
      </w:pPr>
      <w:r>
        <w:t>Planck Mass Deformation</w:t>
      </w:r>
    </w:p>
    <w:p>
      <w:r>
        <w:t>Example Gaussian deformation F(χ) and resulting effective potential U(χ):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U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Predicted Observational Trajectory</w:t>
      </w:r>
    </w:p>
    <w:p>
      <w:r>
        <w:t>Predicted correlated trajectory in the (n_s, r) plane:</w:t>
      </w:r>
    </w:p>
    <w:p>
      <w:r>
        <w:drawing>
          <wp:inline xmlns:a="http://schemas.openxmlformats.org/drawingml/2006/main" xmlns:pic="http://schemas.openxmlformats.org/drawingml/2006/picture">
            <wp:extent cx="5029200" cy="36637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s_r_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63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The model modifies geometry rather than potential shape and preserves the single-field consistency relation.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