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18eb4eabb7c43742f16dad51bab9540007e4ac"/>
    <w:p>
      <w:pPr>
        <w:pStyle w:val="Heading1"/>
      </w:pPr>
      <w:r>
        <w:t xml:space="preserve">Forever Shining — investor shortlist and outreach plan</w:t>
      </w:r>
    </w:p>
    <w:p>
      <w:pPr>
        <w:pStyle w:val="FirstParagraph"/>
      </w:pPr>
      <w:r>
        <w:rPr>
          <w:b/>
          <w:bCs/>
        </w:rPr>
        <w:t xml:space="preserve">Prepared:</w:t>
      </w:r>
      <w:r>
        <w:t xml:space="preserve"> </w:t>
      </w:r>
      <w:r>
        <w:t xml:space="preserve">16 September 2026</w:t>
      </w:r>
      <w:r>
        <w:br/>
      </w:r>
      <w:r>
        <w:rPr>
          <w:b/>
          <w:bCs/>
        </w:rPr>
        <w:t xml:space="preserve">Recommendation:</w:t>
      </w:r>
      <w:r>
        <w:t xml:space="preserve"> </w:t>
      </w:r>
      <w:r>
        <w:t xml:space="preserve">run a dual-track process: (1) a small pre-seed syndicate to fund validation, and (2) paid pilot conversations with strategic operators. At the present evidence level, strategic pilots are more valuable than trying to force a large institutional VC round.</w:t>
      </w:r>
    </w:p>
    <w:bookmarkStart w:id="9" w:name="positioning-for-every-conversation"/>
    <w:p>
      <w:pPr>
        <w:pStyle w:val="Heading2"/>
      </w:pPr>
      <w:r>
        <w:t xml:space="preserve">Positioning for every conversation</w:t>
      </w:r>
    </w:p>
    <w:p>
      <w:pPr>
        <w:pStyle w:val="BlockText"/>
      </w:pPr>
      <w:r>
        <w:t xml:space="preserve">Forever Shining is an established, revenue-generating Australian memorial-commerce business with 20 years of operating experience. Its existing configurator has operated for approximately seven years. The company is now building a next-generation 3D, catalogue-aware studio to modernise the sales workflow and, once proven, offer it to stonemasons, funeral homes and memorial parks.</w:t>
      </w:r>
    </w:p>
    <w:p>
      <w:pPr>
        <w:pStyle w:val="FirstParagraph"/>
      </w:pPr>
      <w:r>
        <w:t xml:space="preserve">Do not lead with</w:t>
      </w:r>
      <w:r>
        <w:t xml:space="preserve"> </w:t>
      </w:r>
      <w:r>
        <w:t xml:space="preserve">“an online headstone shop.”</w:t>
      </w:r>
      <w:r>
        <w:t xml:space="preserve"> </w:t>
      </w:r>
      <w:r>
        <w:t xml:space="preserve">It shrinks the outcome to retail and obscures the repeatable software/distribution opportunity. Equally, do not call it SaaS until a paid partner is using it; say</w:t>
      </w:r>
      <w:r>
        <w:t xml:space="preserve"> </w:t>
      </w:r>
      <w:r>
        <w:rPr>
          <w:b/>
          <w:bCs/>
        </w:rPr>
        <w:t xml:space="preserve">“a hybrid commerce and fulfilment platform, with B2B2C software being validated.”</w:t>
      </w:r>
    </w:p>
    <w:bookmarkEnd w:id="9"/>
    <w:bookmarkStart w:id="22" w:name="priority-list"/>
    <w:p>
      <w:pPr>
        <w:pStyle w:val="Heading2"/>
      </w:pPr>
      <w:r>
        <w:t xml:space="preserve">Priority list</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Priority</w:t>
            </w:r>
          </w:p>
        </w:tc>
        <w:tc>
          <w:tcPr/>
          <w:p>
            <w:pPr>
              <w:pStyle w:val="Compact"/>
            </w:pPr>
            <w:r>
              <w:t xml:space="preserve">Investor / partner</w:t>
            </w:r>
          </w:p>
        </w:tc>
        <w:tc>
          <w:tcPr/>
          <w:p>
            <w:pPr>
              <w:pStyle w:val="Compact"/>
            </w:pPr>
            <w:r>
              <w:t xml:space="preserve">Why it matches</w:t>
            </w:r>
          </w:p>
        </w:tc>
        <w:tc>
          <w:tcPr/>
          <w:p>
            <w:pPr>
              <w:pStyle w:val="Compact"/>
            </w:pPr>
            <w:r>
              <w:t xml:space="preserve">Best first ask</w:t>
            </w:r>
          </w:p>
        </w:tc>
        <w:tc>
          <w:tcPr/>
          <w:p>
            <w:pPr>
              <w:pStyle w:val="Compact"/>
            </w:pPr>
            <w:r>
              <w:t xml:space="preserve">Evidence / route</w:t>
            </w:r>
          </w:p>
        </w:tc>
      </w:tr>
      <w:tr>
        <w:tc>
          <w:tcPr/>
          <w:p>
            <w:pPr>
              <w:pStyle w:val="Compact"/>
              <w:jc w:val="right"/>
            </w:pPr>
            <w:r>
              <w:t xml:space="preserve">1</w:t>
            </w:r>
          </w:p>
        </w:tc>
        <w:tc>
          <w:tcPr/>
          <w:p>
            <w:pPr>
              <w:pStyle w:val="Compact"/>
            </w:pPr>
            <w:r>
              <w:rPr>
                <w:b/>
                <w:bCs/>
              </w:rPr>
              <w:t xml:space="preserve">Black Sheep Capital</w:t>
            </w:r>
          </w:p>
        </w:tc>
        <w:tc>
          <w:tcPr/>
          <w:p>
            <w:pPr>
              <w:pStyle w:val="Compact"/>
            </w:pPr>
            <w:r>
              <w:t xml:space="preserve">Active Australian angel/seed investor; its portfolio includes marketplace and e-commerce businesses. Better fit for an operator-led pre-seed than a large fund.</w:t>
            </w:r>
          </w:p>
        </w:tc>
        <w:tc>
          <w:tcPr/>
          <w:p>
            <w:pPr>
              <w:pStyle w:val="Compact"/>
            </w:pPr>
            <w:r>
              <w:t xml:space="preserve">A$250k–500k anchor/co-investment plus commerce/operator introductions.</w:t>
            </w:r>
          </w:p>
        </w:tc>
        <w:tc>
          <w:tcPr/>
          <w:p>
            <w:pPr>
              <w:pStyle w:val="Compact"/>
            </w:pPr>
            <w:hyperlink r:id="rId10">
              <w:r>
                <w:rPr>
                  <w:rStyle w:val="Hyperlink"/>
                </w:rPr>
                <w:t xml:space="preserve">Investment thesis &amp; portfolio</w:t>
              </w:r>
            </w:hyperlink>
          </w:p>
        </w:tc>
      </w:tr>
      <w:tr>
        <w:tc>
          <w:tcPr/>
          <w:p>
            <w:pPr>
              <w:pStyle w:val="Compact"/>
              <w:jc w:val="right"/>
            </w:pPr>
            <w:r>
              <w:t xml:space="preserve">2</w:t>
            </w:r>
          </w:p>
        </w:tc>
        <w:tc>
          <w:tcPr/>
          <w:p>
            <w:pPr>
              <w:pStyle w:val="Compact"/>
            </w:pPr>
            <w:r>
              <w:rPr>
                <w:b/>
                <w:bCs/>
              </w:rPr>
              <w:t xml:space="preserve">Common Sense Ventures</w:t>
            </w:r>
          </w:p>
        </w:tc>
        <w:tc>
          <w:tcPr/>
          <w:p>
            <w:pPr>
              <w:pStyle w:val="Compact"/>
            </w:pPr>
            <w:r>
              <w:t xml:space="preserve">Explicitly invests A$100k–1m in early-stage Australian businesses; lists e-commerce/DTC and B2B software among focus areas.</w:t>
            </w:r>
          </w:p>
        </w:tc>
        <w:tc>
          <w:tcPr/>
          <w:p>
            <w:pPr>
              <w:pStyle w:val="Compact"/>
            </w:pPr>
            <w:r>
              <w:t xml:space="preserve">Lead or co-lead pre-seed; challenge the D2C-to-B2B2C plan.</w:t>
            </w:r>
          </w:p>
        </w:tc>
        <w:tc>
          <w:tcPr/>
          <w:p>
            <w:pPr>
              <w:pStyle w:val="Compact"/>
            </w:pPr>
            <w:hyperlink r:id="rId11">
              <w:r>
                <w:rPr>
                  <w:rStyle w:val="Hyperlink"/>
                </w:rPr>
                <w:t xml:space="preserve">Investment mandate</w:t>
              </w:r>
            </w:hyperlink>
          </w:p>
        </w:tc>
      </w:tr>
      <w:tr>
        <w:tc>
          <w:tcPr/>
          <w:p>
            <w:pPr>
              <w:pStyle w:val="Compact"/>
              <w:jc w:val="right"/>
            </w:pPr>
            <w:r>
              <w:t xml:space="preserve">3</w:t>
            </w:r>
          </w:p>
        </w:tc>
        <w:tc>
          <w:tcPr/>
          <w:p>
            <w:pPr>
              <w:pStyle w:val="Compact"/>
            </w:pPr>
            <w:r>
              <w:rPr>
                <w:b/>
                <w:bCs/>
              </w:rPr>
              <w:t xml:space="preserve">Davis Enterprises Holdings</w:t>
            </w:r>
          </w:p>
        </w:tc>
        <w:tc>
          <w:tcPr/>
          <w:p>
            <w:pPr>
              <w:pStyle w:val="Compact"/>
            </w:pPr>
            <w:r>
              <w:t xml:space="preserve">Pre-seed/seed Australian co-investor, publishes A$20k–40k cheques and e-commerce focus. Useful for filling a disciplined angel syndicate.</w:t>
            </w:r>
          </w:p>
        </w:tc>
        <w:tc>
          <w:tcPr/>
          <w:p>
            <w:pPr>
              <w:pStyle w:val="Compact"/>
            </w:pPr>
            <w:r>
              <w:t xml:space="preserve">A$20k–40k co-investment after an anchor is secured.</w:t>
            </w:r>
          </w:p>
        </w:tc>
        <w:tc>
          <w:tcPr/>
          <w:p>
            <w:pPr>
              <w:pStyle w:val="Compact"/>
            </w:pPr>
            <w:hyperlink r:id="rId12">
              <w:r>
                <w:rPr>
                  <w:rStyle w:val="Hyperlink"/>
                </w:rPr>
                <w:t xml:space="preserve">Focus and cheque size</w:t>
              </w:r>
            </w:hyperlink>
          </w:p>
        </w:tc>
      </w:tr>
      <w:tr>
        <w:tc>
          <w:tcPr/>
          <w:p>
            <w:pPr>
              <w:pStyle w:val="Compact"/>
              <w:jc w:val="right"/>
            </w:pPr>
            <w:r>
              <w:t xml:space="preserve">4</w:t>
            </w:r>
          </w:p>
        </w:tc>
        <w:tc>
          <w:tcPr/>
          <w:p>
            <w:pPr>
              <w:pStyle w:val="Compact"/>
            </w:pPr>
            <w:r>
              <w:rPr>
                <w:b/>
                <w:bCs/>
              </w:rPr>
              <w:t xml:space="preserve">Rampersand</w:t>
            </w:r>
          </w:p>
        </w:tc>
        <w:tc>
          <w:tcPr/>
          <w:p>
            <w:pPr>
              <w:pStyle w:val="Compact"/>
            </w:pPr>
            <w:r>
              <w:t xml:space="preserve">Hands-on early-stage investor in Aus/NZ; relevant experience includes merchant experience and 3D presentation software in portfolio. The bar will be higher: show platform repeatability.</w:t>
            </w:r>
          </w:p>
        </w:tc>
        <w:tc>
          <w:tcPr/>
          <w:p>
            <w:pPr>
              <w:pStyle w:val="Compact"/>
            </w:pPr>
            <w:r>
              <w:t xml:space="preserve">Introductory meeting once first paid pilots or conversion data exist.</w:t>
            </w:r>
          </w:p>
        </w:tc>
        <w:tc>
          <w:tcPr/>
          <w:p>
            <w:pPr>
              <w:pStyle w:val="Compact"/>
            </w:pPr>
            <w:hyperlink r:id="rId13">
              <w:r>
                <w:rPr>
                  <w:rStyle w:val="Hyperlink"/>
                </w:rPr>
                <w:t xml:space="preserve">Firm</w:t>
              </w:r>
            </w:hyperlink>
            <w:r>
              <w:t xml:space="preserve"> </w:t>
            </w:r>
            <w:r>
              <w:t xml:space="preserve">·</w:t>
            </w:r>
            <w:r>
              <w:t xml:space="preserve"> </w:t>
            </w:r>
            <w:hyperlink r:id="rId14">
              <w:r>
                <w:rPr>
                  <w:rStyle w:val="Hyperlink"/>
                </w:rPr>
                <w:t xml:space="preserve">portfolio</w:t>
              </w:r>
            </w:hyperlink>
          </w:p>
        </w:tc>
      </w:tr>
      <w:tr>
        <w:tc>
          <w:tcPr/>
          <w:p>
            <w:pPr>
              <w:pStyle w:val="Compact"/>
              <w:jc w:val="right"/>
            </w:pPr>
            <w:r>
              <w:t xml:space="preserve">5</w:t>
            </w:r>
          </w:p>
        </w:tc>
        <w:tc>
          <w:tcPr/>
          <w:p>
            <w:pPr>
              <w:pStyle w:val="Compact"/>
            </w:pPr>
            <w:r>
              <w:rPr>
                <w:b/>
                <w:bCs/>
              </w:rPr>
              <w:t xml:space="preserve">Investible</w:t>
            </w:r>
          </w:p>
        </w:tc>
        <w:tc>
          <w:tcPr/>
          <w:p>
            <w:pPr>
              <w:pStyle w:val="Compact"/>
            </w:pPr>
            <w:r>
              <w:t xml:space="preserve">Early-stage, global-first mandate and a stated preference for B2B/SaaS. Strong match after white-label revenue or a signed pilot path exists.</w:t>
            </w:r>
          </w:p>
        </w:tc>
        <w:tc>
          <w:tcPr/>
          <w:p>
            <w:pPr>
              <w:pStyle w:val="Compact"/>
            </w:pPr>
            <w:r>
              <w:t xml:space="preserve">Partner-feedback meeting; invite to a later seed extension, not the first cold target.</w:t>
            </w:r>
          </w:p>
        </w:tc>
        <w:tc>
          <w:tcPr/>
          <w:p>
            <w:pPr>
              <w:pStyle w:val="Compact"/>
            </w:pPr>
            <w:hyperlink r:id="rId15">
              <w:r>
                <w:rPr>
                  <w:rStyle w:val="Hyperlink"/>
                </w:rPr>
                <w:t xml:space="preserve">Get investment</w:t>
              </w:r>
            </w:hyperlink>
          </w:p>
        </w:tc>
      </w:tr>
      <w:tr>
        <w:tc>
          <w:tcPr/>
          <w:p>
            <w:pPr>
              <w:pStyle w:val="Compact"/>
              <w:jc w:val="right"/>
            </w:pPr>
            <w:r>
              <w:t xml:space="preserve">6</w:t>
            </w:r>
          </w:p>
        </w:tc>
        <w:tc>
          <w:tcPr/>
          <w:p>
            <w:pPr>
              <w:pStyle w:val="Compact"/>
            </w:pPr>
            <w:r>
              <w:rPr>
                <w:b/>
                <w:bCs/>
              </w:rPr>
              <w:t xml:space="preserve">Antler Australia</w:t>
            </w:r>
          </w:p>
        </w:tc>
        <w:tc>
          <w:tcPr/>
          <w:p>
            <w:pPr>
              <w:pStyle w:val="Compact"/>
            </w:pPr>
            <w:r>
              <w:t xml:space="preserve">Backs founders at inception/pre-seed and runs an eight-week residency twice annually. Useful only if the founding team is eligible and wants the programme/community.</w:t>
            </w:r>
          </w:p>
        </w:tc>
        <w:tc>
          <w:tcPr/>
          <w:p>
            <w:pPr>
              <w:pStyle w:val="Compact"/>
            </w:pPr>
            <w:r>
              <w:t xml:space="preserve">Explore residency and investment terms; do not treat it as a generic VC outreach.</w:t>
            </w:r>
          </w:p>
        </w:tc>
        <w:tc>
          <w:tcPr/>
          <w:p>
            <w:pPr>
              <w:pStyle w:val="Compact"/>
            </w:pPr>
            <w:hyperlink r:id="rId16">
              <w:r>
                <w:rPr>
                  <w:rStyle w:val="Hyperlink"/>
                </w:rPr>
                <w:t xml:space="preserve">Australia programme</w:t>
              </w:r>
            </w:hyperlink>
          </w:p>
        </w:tc>
      </w:tr>
      <w:tr>
        <w:tc>
          <w:tcPr/>
          <w:p>
            <w:pPr>
              <w:pStyle w:val="Compact"/>
              <w:jc w:val="right"/>
            </w:pPr>
            <w:r>
              <w:t xml:space="preserve">7</w:t>
            </w:r>
          </w:p>
        </w:tc>
        <w:tc>
          <w:tcPr/>
          <w:p>
            <w:pPr>
              <w:pStyle w:val="Compact"/>
            </w:pPr>
            <w:r>
              <w:rPr>
                <w:b/>
                <w:bCs/>
              </w:rPr>
              <w:t xml:space="preserve">InvoCare</w:t>
            </w:r>
            <w:r>
              <w:t xml:space="preserve"> </w:t>
            </w:r>
            <w:r>
              <w:t xml:space="preserve">— strategic pilot, not assumed investor</w:t>
            </w:r>
          </w:p>
        </w:tc>
        <w:tc>
          <w:tcPr/>
          <w:p>
            <w:pPr>
              <w:pStyle w:val="Compact"/>
            </w:pPr>
            <w:r>
              <w:t xml:space="preserve">Operates funeral homes, memorial parks/crematoria and pet cremation across Australia, NZ and Singapore. This is a distribution/design-partner hypothesis, not evidence that it invests externally.</w:t>
            </w:r>
          </w:p>
        </w:tc>
        <w:tc>
          <w:tcPr/>
          <w:p>
            <w:pPr>
              <w:pStyle w:val="Compact"/>
            </w:pPr>
            <w:r>
              <w:t xml:space="preserve">A paid/controlled pilot for a memorial or pet-memorial workflow; integration and customer-experience discussion.</w:t>
            </w:r>
          </w:p>
        </w:tc>
        <w:tc>
          <w:tcPr/>
          <w:p>
            <w:pPr>
              <w:pStyle w:val="Compact"/>
            </w:pPr>
            <w:hyperlink r:id="rId17">
              <w:r>
                <w:rPr>
                  <w:rStyle w:val="Hyperlink"/>
                </w:rPr>
                <w:t xml:space="preserve">Operating footprint</w:t>
              </w:r>
            </w:hyperlink>
            <w:r>
              <w:t xml:space="preserve"> </w:t>
            </w:r>
            <w:r>
              <w:t xml:space="preserve">·</w:t>
            </w:r>
            <w:r>
              <w:t xml:space="preserve"> </w:t>
            </w:r>
            <w:hyperlink r:id="rId18">
              <w:r>
                <w:rPr>
                  <w:rStyle w:val="Hyperlink"/>
                </w:rPr>
                <w:t xml:space="preserve">brands</w:t>
              </w:r>
            </w:hyperlink>
          </w:p>
        </w:tc>
      </w:tr>
      <w:tr>
        <w:tc>
          <w:tcPr/>
          <w:p>
            <w:pPr>
              <w:pStyle w:val="Compact"/>
              <w:jc w:val="right"/>
            </w:pPr>
            <w:r>
              <w:t xml:space="preserve">8</w:t>
            </w:r>
          </w:p>
        </w:tc>
        <w:tc>
          <w:tcPr/>
          <w:p>
            <w:pPr>
              <w:pStyle w:val="Compact"/>
            </w:pPr>
            <w:r>
              <w:rPr>
                <w:b/>
                <w:bCs/>
              </w:rPr>
              <w:t xml:space="preserve">Propel Funeral Partners</w:t>
            </w:r>
            <w:r>
              <w:t xml:space="preserve"> </w:t>
            </w:r>
            <w:r>
              <w:t xml:space="preserve">— strategic pilot, not assumed investor</w:t>
            </w:r>
          </w:p>
        </w:tc>
        <w:tc>
          <w:tcPr/>
          <w:p>
            <w:pPr>
              <w:pStyle w:val="Compact"/>
            </w:pPr>
            <w:r>
              <w:t xml:space="preserve">Second-largest private death-care provider in Australia/NZ; its FY26 report explicitly discusses digital engagement and fragmented industry. It can validate operator workflows.</w:t>
            </w:r>
          </w:p>
        </w:tc>
        <w:tc>
          <w:tcPr/>
          <w:p>
            <w:pPr>
              <w:pStyle w:val="Compact"/>
            </w:pPr>
            <w:r>
              <w:t xml:space="preserve">Pilot with a local brand; request a commercial sponsor, not capital on first contact.</w:t>
            </w:r>
          </w:p>
        </w:tc>
        <w:tc>
          <w:tcPr/>
          <w:p>
            <w:pPr>
              <w:pStyle w:val="Compact"/>
            </w:pPr>
            <w:hyperlink r:id="rId19">
              <w:r>
                <w:rPr>
                  <w:rStyle w:val="Hyperlink"/>
                </w:rPr>
                <w:t xml:space="preserve">Company</w:t>
              </w:r>
            </w:hyperlink>
            <w:r>
              <w:t xml:space="preserve"> </w:t>
            </w:r>
            <w:r>
              <w:t xml:space="preserve">·</w:t>
            </w:r>
            <w:r>
              <w:t xml:space="preserve"> </w:t>
            </w:r>
            <w:hyperlink r:id="rId20">
              <w:r>
                <w:rPr>
                  <w:rStyle w:val="Hyperlink"/>
                </w:rPr>
                <w:t xml:space="preserve">FY26 report</w:t>
              </w:r>
            </w:hyperlink>
          </w:p>
        </w:tc>
      </w:tr>
    </w:tbl>
    <w:bookmarkStart w:id="21" w:name="deliberate-exclusions"/>
    <w:p>
      <w:pPr>
        <w:pStyle w:val="Heading3"/>
      </w:pPr>
      <w:r>
        <w:t xml:space="preserve">Deliberate exclusions</w:t>
      </w:r>
    </w:p>
    <w:p>
      <w:pPr>
        <w:pStyle w:val="Compact"/>
        <w:numPr>
          <w:ilvl w:val="0"/>
          <w:numId w:val="1001"/>
        </w:numPr>
      </w:pPr>
      <w:r>
        <w:rPr>
          <w:b/>
          <w:bCs/>
        </w:rPr>
        <w:t xml:space="preserve">Tractor Ventures</w:t>
      </w:r>
      <w:r>
        <w:t xml:space="preserve"> </w:t>
      </w:r>
      <w:r>
        <w:t xml:space="preserve">is a good non-dilutive option only after the business reaches meaningful recurring revenue/GMV (its site states a $50k+ monthly-revenue threshold for several products). It is not a pre-revenue pre-seed substitute.</w:t>
      </w:r>
    </w:p>
    <w:p>
      <w:pPr>
        <w:pStyle w:val="Compact"/>
        <w:numPr>
          <w:ilvl w:val="0"/>
          <w:numId w:val="1001"/>
        </w:numPr>
      </w:pPr>
      <w:r>
        <w:t xml:space="preserve">Large generalist funds should be approached after proof of repeatable sales or paid B2B pilots. Cold outreach now will usually be too early and can waste a valuable first impression.</w:t>
      </w:r>
    </w:p>
    <w:p>
      <w:pPr>
        <w:pStyle w:val="Compact"/>
        <w:numPr>
          <w:ilvl w:val="0"/>
          <w:numId w:val="1001"/>
        </w:numPr>
      </w:pPr>
      <w:r>
        <w:t xml:space="preserve">A strategic operator can be a customer, distribution partner, or acquirer as well as an investor. Keep the pilot commercial; do not grant exclusivity or broad IP rights in exchange for an exploratory meeting.</w:t>
      </w:r>
    </w:p>
    <w:bookmarkEnd w:id="21"/>
    <w:bookmarkEnd w:id="22"/>
    <w:bookmarkStart w:id="23" w:name="recommended-sequence-30-days"/>
    <w:p>
      <w:pPr>
        <w:pStyle w:val="Heading2"/>
      </w:pPr>
      <w:r>
        <w:t xml:space="preserve">Recommended sequence — 30 days</w:t>
      </w:r>
    </w:p>
    <w:p>
      <w:pPr>
        <w:pStyle w:val="Compact"/>
        <w:numPr>
          <w:ilvl w:val="0"/>
          <w:numId w:val="1002"/>
        </w:numPr>
      </w:pPr>
      <w:r>
        <w:rPr>
          <w:b/>
          <w:bCs/>
        </w:rPr>
        <w:t xml:space="preserve">Week 1 — investment readiness.</w:t>
      </w:r>
      <w:r>
        <w:t xml:space="preserve"> </w:t>
      </w:r>
      <w:r>
        <w:t xml:space="preserve">Fill all deck placeholders; prepare a one-page financial model, cap table, revenue/order funnel, current cash/runway, data room and a 90-second live demo.</w:t>
      </w:r>
    </w:p>
    <w:p>
      <w:pPr>
        <w:pStyle w:val="Compact"/>
        <w:numPr>
          <w:ilvl w:val="0"/>
          <w:numId w:val="1002"/>
        </w:numPr>
      </w:pPr>
      <w:r>
        <w:rPr>
          <w:b/>
          <w:bCs/>
        </w:rPr>
        <w:t xml:space="preserve">Week 2 — warm introductions.</w:t>
      </w:r>
      <w:r>
        <w:t xml:space="preserve"> </w:t>
      </w:r>
      <w:r>
        <w:t xml:space="preserve">Seek one warm introduction each to Black Sheep and Common Sense. Send a concise note and a link to the deck, never an attachment on first contact if an investor has a submission form.</w:t>
      </w:r>
    </w:p>
    <w:p>
      <w:pPr>
        <w:pStyle w:val="Compact"/>
        <w:numPr>
          <w:ilvl w:val="0"/>
          <w:numId w:val="1002"/>
        </w:numPr>
      </w:pPr>
      <w:r>
        <w:rPr>
          <w:b/>
          <w:bCs/>
        </w:rPr>
        <w:t xml:space="preserve">Weeks 2–3 — 10 discovery calls.</w:t>
      </w:r>
      <w:r>
        <w:t xml:space="preserve"> </w:t>
      </w:r>
      <w:r>
        <w:t xml:space="preserve">Five independent stonemasons/memorial suppliers and the two strategic operators above. The goal is a paid pilot LOI, not a vague endorsement.</w:t>
      </w:r>
    </w:p>
    <w:p>
      <w:pPr>
        <w:pStyle w:val="Compact"/>
        <w:numPr>
          <w:ilvl w:val="0"/>
          <w:numId w:val="1002"/>
        </w:numPr>
      </w:pPr>
      <w:r>
        <w:rPr>
          <w:b/>
          <w:bCs/>
        </w:rPr>
        <w:t xml:space="preserve">Week 3 — syndicate.</w:t>
      </w:r>
      <w:r>
        <w:t xml:space="preserve"> </w:t>
      </w:r>
      <w:r>
        <w:t xml:space="preserve">Once one investor is engaged, invite Davis and relevant angels to fill the round. Record every question and objection.</w:t>
      </w:r>
    </w:p>
    <w:p>
      <w:pPr>
        <w:pStyle w:val="Compact"/>
        <w:numPr>
          <w:ilvl w:val="0"/>
          <w:numId w:val="1002"/>
        </w:numPr>
      </w:pPr>
      <w:r>
        <w:rPr>
          <w:b/>
          <w:bCs/>
        </w:rPr>
        <w:t xml:space="preserve">Week 4 — institutional follow-up.</w:t>
      </w:r>
      <w:r>
        <w:t xml:space="preserve"> </w:t>
      </w:r>
      <w:r>
        <w:t xml:space="preserve">Take the pilot pipeline, conversion funnel and updated deck to Rampersand/Investible.</w:t>
      </w:r>
    </w:p>
    <w:bookmarkEnd w:id="23"/>
    <w:bookmarkStart w:id="24" w:name="outreach-email-investor"/>
    <w:p>
      <w:pPr>
        <w:pStyle w:val="Heading2"/>
      </w:pPr>
      <w:r>
        <w:t xml:space="preserve">Outreach email — investor</w:t>
      </w:r>
    </w:p>
    <w:p>
      <w:pPr>
        <w:pStyle w:val="FirstParagraph"/>
      </w:pPr>
      <w:r>
        <w:rPr>
          <w:b/>
          <w:bCs/>
        </w:rPr>
        <w:t xml:space="preserve">Subject:</w:t>
      </w:r>
      <w:r>
        <w:t xml:space="preserve"> </w:t>
      </w:r>
      <w:r>
        <w:t xml:space="preserve">Forever Shining — digital design and commerce platform for personalised memorials</w:t>
      </w:r>
    </w:p>
    <w:p>
      <w:pPr>
        <w:pStyle w:val="BodyText"/>
      </w:pPr>
      <w:r>
        <w:t xml:space="preserve">Hi [Name],</w:t>
      </w:r>
    </w:p>
    <w:p>
      <w:pPr>
        <w:pStyle w:val="BodyText"/>
      </w:pPr>
      <w:r>
        <w:t xml:space="preserve">Forever Shining is an established Australian memorial business with 20 years of operating experience. Our existing configurator has supported customer orders and revenue for approximately seven years. We are now building a next-generation 3D design and commerce platform to improve the customer experience and, once proven in our own operation, offer the workflow to suppliers.</w:t>
      </w:r>
    </w:p>
    <w:p>
      <w:pPr>
        <w:pStyle w:val="BodyText"/>
      </w:pPr>
      <w:r>
        <w:t xml:space="preserve">The operating business is live: two sampled current-orders views on 16 September show 28 visible orders (9,747–9,761 and 9,800–9,814) with A$133,362.29 in displayed gross order value. This is not a claim that the samples represent all sales or recognised revenue, as payment and fulfilment statuses differ by order. We fulfil easy-to-ship plaques and small headstones in-house, while complex full-monument orders can use manufacturing and installation partners to reduce freight and local-installation friction. We are seeking growth capital to instrument and scale that established business, launch the new platform, and validate 3–5 paid B2B2C pilots.</w:t>
      </w:r>
    </w:p>
    <w:p>
      <w:pPr>
        <w:pStyle w:val="BodyText"/>
      </w:pPr>
      <w:r>
        <w:t xml:space="preserve">[One tailored sentence: why their commerce / early-stage / operator experience matters.]</w:t>
      </w:r>
    </w:p>
    <w:p>
      <w:pPr>
        <w:pStyle w:val="BodyText"/>
      </w:pPr>
      <w:r>
        <w:t xml:space="preserve">Would a 20-minute product demo next week be useful? Here is the deck: [link].</w:t>
      </w:r>
    </w:p>
    <w:p>
      <w:pPr>
        <w:pStyle w:val="BodyText"/>
      </w:pPr>
      <w:r>
        <w:t xml:space="preserve">Best,</w:t>
      </w:r>
      <w:r>
        <w:br/>
      </w:r>
      <w:r>
        <w:t xml:space="preserve">[Founder]</w:t>
      </w:r>
    </w:p>
    <w:bookmarkEnd w:id="24"/>
    <w:bookmarkStart w:id="25" w:name="outreach-email-strategic-pilot"/>
    <w:p>
      <w:pPr>
        <w:pStyle w:val="Heading2"/>
      </w:pPr>
      <w:r>
        <w:t xml:space="preserve">Outreach email — strategic pilot</w:t>
      </w:r>
    </w:p>
    <w:p>
      <w:pPr>
        <w:pStyle w:val="FirstParagraph"/>
      </w:pPr>
      <w:r>
        <w:rPr>
          <w:b/>
          <w:bCs/>
        </w:rPr>
        <w:t xml:space="preserve">Subject:</w:t>
      </w:r>
      <w:r>
        <w:t xml:space="preserve"> </w:t>
      </w:r>
      <w:r>
        <w:t xml:space="preserve">Proposal: reduce manual memorial design and proofing with a branded online studio</w:t>
      </w:r>
    </w:p>
    <w:p>
      <w:pPr>
        <w:pStyle w:val="BodyText"/>
      </w:pPr>
      <w:r>
        <w:t xml:space="preserve">Hi [Name],</w:t>
      </w:r>
    </w:p>
    <w:p>
      <w:pPr>
        <w:pStyle w:val="BodyText"/>
      </w:pPr>
      <w:r>
        <w:t xml:space="preserve">Forever Shining has 20 years of Australian operating experience and runs an established online memorial configurator and order workflow, with approximately seven years of live customer activity. We are building a next-generation 3D studio covering shapes, materials, inscriptions, imagery, pricing, saved designs and sharable proofs. We fulfil easy-to-ship products in-house and are looking for 3–5 Australian manufacturing/installation partners for complex monument orders, where local fulfilment can reduce freight and installation friction.</w:t>
      </w:r>
    </w:p>
    <w:p>
      <w:pPr>
        <w:pStyle w:val="BodyText"/>
      </w:pPr>
      <w:r>
        <w:t xml:space="preserve">I’m not asking for a broad commitment. I’d like to show a 20-minute demo and, if it fits, define a small paid pilot with clear success metrics, data ownership and no exclusivity.</w:t>
      </w:r>
    </w:p>
    <w:p>
      <w:pPr>
        <w:pStyle w:val="BodyText"/>
      </w:pPr>
      <w:r>
        <w:t xml:space="preserve">Would you be the right person to discuss digital customer experience, memorial products or operational systems?</w:t>
      </w:r>
    </w:p>
    <w:p>
      <w:pPr>
        <w:pStyle w:val="BodyText"/>
      </w:pPr>
      <w:r>
        <w:t xml:space="preserve">Best,</w:t>
      </w:r>
      <w:r>
        <w:br/>
      </w:r>
      <w:r>
        <w:t xml:space="preserve">[Founder]</w:t>
      </w:r>
    </w:p>
    <w:bookmarkEnd w:id="25"/>
    <w:bookmarkStart w:id="26" w:name="X5798c52550a885f3f1a14c1709a42d34b7668a6"/>
    <w:p>
      <w:pPr>
        <w:pStyle w:val="Heading2"/>
      </w:pPr>
      <w:r>
        <w:t xml:space="preserve">Before sending: non-negotiable diligence gaps</w:t>
      </w:r>
    </w:p>
    <w:p>
      <w:pPr>
        <w:pStyle w:val="FirstParagraph"/>
      </w:pPr>
      <w:r>
        <w:t xml:space="preserve">Investors will ask these in the first meeting. Prepare evidence, not narrative.</w:t>
      </w:r>
    </w:p>
    <w:p>
      <w:pPr>
        <w:pStyle w:val="Compact"/>
        <w:numPr>
          <w:ilvl w:val="0"/>
          <w:numId w:val="1003"/>
        </w:numPr>
      </w:pPr>
      <w:r>
        <w:t xml:space="preserve">Current revenue, orders, average order value, gross margin and refund/cancellation rate.</w:t>
      </w:r>
    </w:p>
    <w:p>
      <w:pPr>
        <w:pStyle w:val="Compact"/>
        <w:numPr>
          <w:ilvl w:val="0"/>
          <w:numId w:val="1003"/>
        </w:numPr>
      </w:pPr>
      <w:r>
        <w:t xml:space="preserve">A deduplicated, consent-safe historical design count. The public generator indexes expose 3,021 Forever Shining AU records dated 2019–2024 and 1,100 HeadstonesDesigner records dated 2023–2024. Treat this as an audit lead, not customer/order traction: records can include samples, drafts or duplicates.</w:t>
      </w:r>
    </w:p>
    <w:p>
      <w:pPr>
        <w:pStyle w:val="Compact"/>
        <w:numPr>
          <w:ilvl w:val="0"/>
          <w:numId w:val="1003"/>
        </w:numPr>
      </w:pPr>
      <w:r>
        <w:t xml:space="preserve">Funnel by channel: visitors → design starts → saves → quotes → orders; monthly cohort trend.</w:t>
      </w:r>
    </w:p>
    <w:p>
      <w:pPr>
        <w:pStyle w:val="Compact"/>
        <w:numPr>
          <w:ilvl w:val="0"/>
          <w:numId w:val="1003"/>
        </w:numPr>
      </w:pPr>
      <w:r>
        <w:t xml:space="preserve">CAC, sales cycle, time spent per proof/order and contribution margin.</w:t>
      </w:r>
    </w:p>
    <w:p>
      <w:pPr>
        <w:pStyle w:val="Compact"/>
        <w:numPr>
          <w:ilvl w:val="0"/>
          <w:numId w:val="1003"/>
        </w:numPr>
      </w:pPr>
      <w:r>
        <w:t xml:space="preserve">Founder names, ownership, full-time commitment, incorporation/jurisdiction and cap table.</w:t>
      </w:r>
    </w:p>
    <w:p>
      <w:pPr>
        <w:pStyle w:val="Compact"/>
        <w:numPr>
          <w:ilvl w:val="0"/>
          <w:numId w:val="1003"/>
        </w:numPr>
      </w:pPr>
      <w:r>
        <w:t xml:space="preserve">IP rights to software, 3D assets, catalogue data, customer images and brand; privacy and consent handling.</w:t>
      </w:r>
    </w:p>
    <w:p>
      <w:pPr>
        <w:pStyle w:val="Compact"/>
        <w:numPr>
          <w:ilvl w:val="0"/>
          <w:numId w:val="1003"/>
        </w:numPr>
      </w:pPr>
      <w:r>
        <w:t xml:space="preserve">Public-generator privacy review: the indexes contain design metadata, including design names. Before investor sharing or growth activity, verify that no personal memorial data is unintentionally indexable and document consent/retention/access controls.</w:t>
      </w:r>
    </w:p>
    <w:p>
      <w:pPr>
        <w:pStyle w:val="Compact"/>
        <w:numPr>
          <w:ilvl w:val="0"/>
          <w:numId w:val="1003"/>
        </w:numPr>
      </w:pPr>
      <w:r>
        <w:t xml:space="preserve">Payment, production and fulfilment responsibility. Be explicit about merchant of record by product category, partner economics, installer liability, delivery promise and whether Forever Shining is principal, agent, software vendor or a blend.</w:t>
      </w:r>
    </w:p>
    <w:p>
      <w:pPr>
        <w:pStyle w:val="Compact"/>
        <w:numPr>
          <w:ilvl w:val="0"/>
          <w:numId w:val="1003"/>
        </w:numPr>
      </w:pPr>
      <w:r>
        <w:t xml:space="preserve">Security and payments readiness. The internal audit notes outstanding work such as rate limiting and final production/payment deployment validation; fix and document these before scale claims.</w:t>
      </w:r>
    </w:p>
    <w:bookmarkEnd w:id="26"/>
    <w:bookmarkStart w:id="27" w:name="success-metrics-for-an-investor-process"/>
    <w:p>
      <w:pPr>
        <w:pStyle w:val="Heading2"/>
      </w:pPr>
      <w:r>
        <w:t xml:space="preserve">Success metrics for an investor process</w:t>
      </w:r>
    </w:p>
    <w:p>
      <w:pPr>
        <w:pStyle w:val="FirstParagraph"/>
      </w:pPr>
      <w:r>
        <w:t xml:space="preserve">Within 90 days, target a decision-quality package: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Minimum decision signal</w:t>
            </w:r>
          </w:p>
        </w:tc>
      </w:tr>
      <w:tr>
        <w:tc>
          <w:tcPr/>
          <w:p>
            <w:pPr>
              <w:pStyle w:val="Compact"/>
            </w:pPr>
            <w:r>
              <w:t xml:space="preserve">Partner interest</w:t>
            </w:r>
          </w:p>
        </w:tc>
        <w:tc>
          <w:tcPr/>
          <w:p>
            <w:pPr>
              <w:pStyle w:val="Compact"/>
            </w:pPr>
            <w:r>
              <w:t xml:space="preserve">3 signed paid pilots or LOIs with named owners and timeline</w:t>
            </w:r>
          </w:p>
        </w:tc>
      </w:tr>
      <w:tr>
        <w:tc>
          <w:tcPr/>
          <w:p>
            <w:pPr>
              <w:pStyle w:val="Compact"/>
            </w:pPr>
            <w:r>
              <w:t xml:space="preserve">Sales evidence</w:t>
            </w:r>
          </w:p>
        </w:tc>
        <w:tc>
          <w:tcPr/>
          <w:p>
            <w:pPr>
              <w:pStyle w:val="Compact"/>
            </w:pPr>
            <w:r>
              <w:t xml:space="preserve">Baseline funnel and at least two months of comparable conversion data</w:t>
            </w:r>
          </w:p>
        </w:tc>
      </w:tr>
      <w:tr>
        <w:tc>
          <w:tcPr/>
          <w:p>
            <w:pPr>
              <w:pStyle w:val="Compact"/>
            </w:pPr>
            <w:r>
              <w:t xml:space="preserve">Unit economics</w:t>
            </w:r>
          </w:p>
        </w:tc>
        <w:tc>
          <w:tcPr/>
          <w:p>
            <w:pPr>
              <w:pStyle w:val="Compact"/>
            </w:pPr>
            <w:r>
              <w:t xml:space="preserve">Channel-level CAC and contribution-margin hypothesis tested with real spend/orders</w:t>
            </w:r>
          </w:p>
        </w:tc>
      </w:tr>
      <w:tr>
        <w:tc>
          <w:tcPr/>
          <w:p>
            <w:pPr>
              <w:pStyle w:val="Compact"/>
            </w:pPr>
            <w:r>
              <w:t xml:space="preserve">Fundraising</w:t>
            </w:r>
          </w:p>
        </w:tc>
        <w:tc>
          <w:tcPr/>
          <w:p>
            <w:pPr>
              <w:pStyle w:val="Compact"/>
            </w:pPr>
            <w:r>
              <w:t xml:space="preserve">One credible anchor conversation and a clean data room</w:t>
            </w:r>
          </w:p>
        </w:tc>
      </w:tr>
      <w:tr>
        <w:tc>
          <w:tcPr/>
          <w:p>
            <w:pPr>
              <w:pStyle w:val="Compact"/>
            </w:pPr>
            <w:r>
              <w:t xml:space="preserve">Product</w:t>
            </w:r>
          </w:p>
        </w:tc>
        <w:tc>
          <w:tcPr/>
          <w:p>
            <w:pPr>
              <w:pStyle w:val="Compact"/>
            </w:pPr>
            <w:r>
              <w:t xml:space="preserve">Partner catalogue onboarding and proof-to-production workflow demonstrated end-to-end</w:t>
            </w:r>
          </w:p>
        </w:tc>
      </w:tr>
    </w:tbl>
    <w:p>
      <w:pPr>
        <w:pStyle w:val="BodyText"/>
      </w:pPr>
      <w:r>
        <w:t xml:space="preserve">The exact numerical targets should be set from actual order economics. Do not manufacture ARR, TAM, retention or customer figures to make the deck look venture-ready.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blacksheepcapital.com.au/" TargetMode="External" /><Relationship Type="http://schemas.openxmlformats.org/officeDocument/2006/relationships/hyperlink" Id="rId12" Target="https://davisenterprises.com.au/" TargetMode="External" /><Relationship Type="http://schemas.openxmlformats.org/officeDocument/2006/relationships/hyperlink" Id="rId20" Target="https://investors.propelfuneralpartners.com.au/investor-centre/" TargetMode="External" /><Relationship Type="http://schemas.openxmlformats.org/officeDocument/2006/relationships/hyperlink" Id="rId19" Target="https://propelfuneralpartners.com.au/" TargetMode="External" /><Relationship Type="http://schemas.openxmlformats.org/officeDocument/2006/relationships/hyperlink" Id="rId13" Target="https://rampersand.vc/" TargetMode="External" /><Relationship Type="http://schemas.openxmlformats.org/officeDocument/2006/relationships/hyperlink" Id="rId16" Target="https://www.antler.co/location/australia" TargetMode="External" /><Relationship Type="http://schemas.openxmlformats.org/officeDocument/2006/relationships/hyperlink" Id="rId11" Target="https://www.commonsense.vc/" TargetMode="External" /><Relationship Type="http://schemas.openxmlformats.org/officeDocument/2006/relationships/hyperlink" Id="rId15" Target="https://www.investible.com/get-investment" TargetMode="External" /><Relationship Type="http://schemas.openxmlformats.org/officeDocument/2006/relationships/hyperlink" Id="rId17" Target="https://www.invocare.com.au/" TargetMode="External" /><Relationship Type="http://schemas.openxmlformats.org/officeDocument/2006/relationships/hyperlink" Id="rId18" Target="https://www.invocare.com.au/our-brands/funeral-homes/" TargetMode="External" /><Relationship Type="http://schemas.openxmlformats.org/officeDocument/2006/relationships/hyperlink" Id="rId14" Target="https://www.rampersand.vc/portfolio" TargetMode="External" /></Relationships>
</file>

<file path=word/_rels/footnotes.xml.rels><?xml version="1.0" encoding="UTF-8"?><Relationships xmlns="http://schemas.openxmlformats.org/package/2006/relationships"><Relationship Type="http://schemas.openxmlformats.org/officeDocument/2006/relationships/hyperlink" Id="rId10" Target="https://blacksheepcapital.com.au/" TargetMode="External" /><Relationship Type="http://schemas.openxmlformats.org/officeDocument/2006/relationships/hyperlink" Id="rId12" Target="https://davisenterprises.com.au/" TargetMode="External" /><Relationship Type="http://schemas.openxmlformats.org/officeDocument/2006/relationships/hyperlink" Id="rId20" Target="https://investors.propelfuneralpartners.com.au/investor-centre/" TargetMode="External" /><Relationship Type="http://schemas.openxmlformats.org/officeDocument/2006/relationships/hyperlink" Id="rId19" Target="https://propelfuneralpartners.com.au/" TargetMode="External" /><Relationship Type="http://schemas.openxmlformats.org/officeDocument/2006/relationships/hyperlink" Id="rId13" Target="https://rampersand.vc/" TargetMode="External" /><Relationship Type="http://schemas.openxmlformats.org/officeDocument/2006/relationships/hyperlink" Id="rId16" Target="https://www.antler.co/location/australia" TargetMode="External" /><Relationship Type="http://schemas.openxmlformats.org/officeDocument/2006/relationships/hyperlink" Id="rId11" Target="https://www.commonsense.vc/" TargetMode="External" /><Relationship Type="http://schemas.openxmlformats.org/officeDocument/2006/relationships/hyperlink" Id="rId15" Target="https://www.investible.com/get-investment" TargetMode="External" /><Relationship Type="http://schemas.openxmlformats.org/officeDocument/2006/relationships/hyperlink" Id="rId17" Target="https://www.invocare.com.au/" TargetMode="External" /><Relationship Type="http://schemas.openxmlformats.org/officeDocument/2006/relationships/hyperlink" Id="rId18" Target="https://www.invocare.com.au/our-brands/funeral-homes/" TargetMode="External" /><Relationship Type="http://schemas.openxmlformats.org/officeDocument/2006/relationships/hyperlink" Id="rId14" Target="https://www.rampersand.vc/portfol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2026-09-16T18:44:31Z</dcterms:created>
  <dcterms:modified xsi:type="dcterms:W3CDTF">2026-09-16T18:44:31Z</dcterms:modified>
</cp:coreProperties>
</file>

<file path=docProps/custom.xml><?xml version="1.0" encoding="utf-8"?>
<Properties xmlns="http://schemas.openxmlformats.org/officeDocument/2006/custom-properties" xmlns:vt="http://schemas.openxmlformats.org/officeDocument/2006/docPropsVTypes"/>
</file>