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Forever Shining</w:t>
      </w:r>
    </w:p>
    <w:p>
      <w:pPr>
        <w:pStyle w:val="Subtitle"/>
      </w:pPr>
      <w:r>
        <w:t xml:space="preserve">A 20-year Australian memorial business, modernising its proven digital sales engine</w:t>
      </w:r>
    </w:p>
    <w:p>
      <w:pPr>
        <w:pStyle w:val="Author"/>
      </w:pPr>
      <w:r>
        <w:t xml:space="preserve">Confidential — September 2026</w:t>
      </w:r>
    </w:p>
    <w:bookmarkStart w:id="10" w:name="forever-shining"/>
    <w:p>
      <w:pPr>
        <w:pStyle w:val="Heading1"/>
      </w:pPr>
      <w:r>
        <w:t xml:space="preserve">Forever Shining</w:t>
      </w:r>
    </w:p>
    <w:bookmarkStart w:id="9" w:name="Xfaba9d758b4655a154a5a2e3ad423b415674941"/>
    <w:p>
      <w:pPr>
        <w:pStyle w:val="Heading2"/>
      </w:pPr>
      <w:r>
        <w:t xml:space="preserve">20 years serving Australia. Seven years of live digital configuration. Now building the next-generation platform.</w:t>
      </w:r>
    </w:p>
    <w:p>
      <w:pPr>
        <w:pStyle w:val="FirstParagraph"/>
      </w:pPr>
      <w:r>
        <w:rPr>
          <w:b/>
          <w:bCs/>
        </w:rPr>
        <w:t xml:space="preserve">Growth and platform-modernisation opportunity</w:t>
      </w:r>
      <w:r>
        <w:br/>
      </w:r>
      <w:r>
        <w:t xml:space="preserve">Australia-first · global category potential</w:t>
      </w:r>
    </w:p>
    <w:p>
      <w:pPr>
        <w:pStyle w:val="BlockText"/>
      </w:pPr>
      <w:r>
        <w:t xml:space="preserve">This deck separates the established, revenue-generating Forever Shining business from the next-generation platform currently in development. The new build and its test-site analytics are not presented as live commercial traction.</w:t>
      </w:r>
    </w:p>
    <w:bookmarkEnd w:id="9"/>
    <w:bookmarkEnd w:id="10"/>
    <w:bookmarkStart w:id="12" w:name="the-problem"/>
    <w:p>
      <w:pPr>
        <w:pStyle w:val="Heading1"/>
      </w:pPr>
      <w:r>
        <w:t xml:space="preserve">The problem</w:t>
      </w:r>
    </w:p>
    <w:bookmarkStart w:id="11" w:name="Xe41e8b9b0156d875e9b5f92d3b5ef476c3f91b4"/>
    <w:p>
      <w:pPr>
        <w:pStyle w:val="Heading2"/>
      </w:pPr>
      <w:r>
        <w:t xml:space="preserve">A high-consideration purchase still runs on fragmented, offline workflows.</w:t>
      </w:r>
    </w:p>
    <w:p>
      <w:pPr>
        <w:pStyle w:val="Compact"/>
        <w:numPr>
          <w:ilvl w:val="0"/>
          <w:numId w:val="1001"/>
        </w:numPr>
      </w:pPr>
      <w:r>
        <w:t xml:space="preserve">Families must make emotionally difficult, highly personal choices with limited visual certainty.</w:t>
      </w:r>
    </w:p>
    <w:p>
      <w:pPr>
        <w:pStyle w:val="Compact"/>
        <w:numPr>
          <w:ilvl w:val="0"/>
          <w:numId w:val="1001"/>
        </w:numPr>
      </w:pPr>
      <w:r>
        <w:t xml:space="preserve">Makers and funeral providers lose time to back-and-forth on dimensions, inscriptions, imagery, materials and cemetery requirements.</w:t>
      </w:r>
    </w:p>
    <w:p>
      <w:pPr>
        <w:pStyle w:val="Compact"/>
        <w:numPr>
          <w:ilvl w:val="0"/>
          <w:numId w:val="1001"/>
        </w:numPr>
      </w:pPr>
      <w:r>
        <w:t xml:space="preserve">Quotes are often manual and design proofs hard to share, revise and retain.</w:t>
      </w:r>
    </w:p>
    <w:p>
      <w:pPr>
        <w:pStyle w:val="Compact"/>
        <w:numPr>
          <w:ilvl w:val="0"/>
          <w:numId w:val="1001"/>
        </w:numPr>
      </w:pPr>
      <w:r>
        <w:t xml:space="preserve">Local operators have deep craft knowledge, but rarely have modern product configuration, digital acquisition or conversion tooling.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lower confidence, slower approval cycles and expensive operational friction.</w:t>
      </w:r>
    </w:p>
    <w:bookmarkEnd w:id="11"/>
    <w:bookmarkEnd w:id="12"/>
    <w:bookmarkStart w:id="14" w:name="the-product"/>
    <w:p>
      <w:pPr>
        <w:pStyle w:val="Heading1"/>
      </w:pPr>
      <w:r>
        <w:t xml:space="preserve">The product</w:t>
      </w:r>
    </w:p>
    <w:bookmarkStart w:id="13" w:name="Xa2e6a737b1ac5dadc4bdb48db1d68f052a25797"/>
    <w:p>
      <w:pPr>
        <w:pStyle w:val="Heading2"/>
      </w:pPr>
      <w:r>
        <w:t xml:space="preserve">A proven online sales workflow today, with a next-generation 3D studio in development.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Established company:</w:t>
      </w:r>
      <w:r>
        <w:t xml:space="preserve"> </w:t>
      </w:r>
      <w:r>
        <w:t xml:space="preserve">Forever Shining has operated in Australia for</w:t>
      </w:r>
      <w:r>
        <w:t xml:space="preserve"> </w:t>
      </w:r>
      <w:r>
        <w:rPr>
          <w:b/>
          <w:bCs/>
        </w:rPr>
        <w:t xml:space="preserve">20 years</w:t>
      </w:r>
      <w:r>
        <w:t xml:space="preserve">; its existing online configurator has supported real customer orders for approximately seven years.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Next platform:</w:t>
      </w:r>
      <w:r>
        <w:t xml:space="preserve"> </w:t>
      </w:r>
      <w:r>
        <w:t xml:space="preserve">a modern, real-time 3D studio will let families configure products, materials, dimensions, inscriptions, imagery and additions with greater visual certainty.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Commercial workflow:</w:t>
      </w:r>
      <w:r>
        <w:t xml:space="preserve"> </w:t>
      </w:r>
      <w:r>
        <w:t xml:space="preserve">the platform roadmap connects design, quote, proof approval and order handoff while preserving the operating knowledge built in the live business.</w:t>
      </w:r>
    </w:p>
    <w:p>
      <w:pPr>
        <w:pStyle w:val="FirstParagraph"/>
      </w:pPr>
      <w:r>
        <w:t xml:space="preserve">The investment case is not a speculative configurator: it is the modernisation and scaling of an operating memorial-commerce workflow with demonstrated demand.</w:t>
      </w:r>
    </w:p>
    <w:bookmarkEnd w:id="13"/>
    <w:bookmarkEnd w:id="14"/>
    <w:bookmarkStart w:id="18" w:name="why-now"/>
    <w:p>
      <w:pPr>
        <w:pStyle w:val="Heading1"/>
      </w:pPr>
      <w:r>
        <w:t xml:space="preserve">Why now</w:t>
      </w:r>
    </w:p>
    <w:bookmarkStart w:id="17" w:name="Xb8d37762643357efa935c48272be8da9b5a913e"/>
    <w:p>
      <w:pPr>
        <w:pStyle w:val="Heading2"/>
      </w:pPr>
      <w:r>
        <w:t xml:space="preserve">Consumer expectations have moved online; memorial commerce has not caught up.</w:t>
      </w:r>
    </w:p>
    <w:p>
      <w:pPr>
        <w:pStyle w:val="Compact"/>
        <w:numPr>
          <w:ilvl w:val="0"/>
          <w:numId w:val="1003"/>
        </w:numPr>
      </w:pPr>
      <w:r>
        <w:t xml:space="preserve">Families expect transparent pricing, self-service research and a visual proof before committing.</w:t>
      </w:r>
    </w:p>
    <w:p>
      <w:pPr>
        <w:pStyle w:val="Compact"/>
        <w:numPr>
          <w:ilvl w:val="0"/>
          <w:numId w:val="1003"/>
        </w:numPr>
      </w:pPr>
      <w:r>
        <w:t xml:space="preserve">Search behaviour already spans material, motif, relationship and product-intent queries — ideal for inspiration-led acquisition.</w:t>
      </w:r>
    </w:p>
    <w:p>
      <w:pPr>
        <w:pStyle w:val="Compact"/>
        <w:numPr>
          <w:ilvl w:val="0"/>
          <w:numId w:val="1003"/>
        </w:numPr>
      </w:pPr>
      <w:r>
        <w:t xml:space="preserve">The Australian death-care market is large and fragmented. An industry report estimates FY24 Australian death-care revenue at</w:t>
      </w:r>
      <w:r>
        <w:t xml:space="preserve"> </w:t>
      </w:r>
      <w:r>
        <w:rPr>
          <w:b/>
          <w:bCs/>
        </w:rPr>
        <w:t xml:space="preserve">A$2.8bn</w:t>
      </w:r>
      <w:r>
        <w:t xml:space="preserve">; fragmentation creates a practical distribution wedge for white-label software and operator partnerships.</w:t>
      </w:r>
      <w:r>
        <w:rPr>
          <w:rStyle w:val="FootnoteReference"/>
        </w:rPr>
        <w:footnoteReference w:id="15"/>
      </w:r>
    </w:p>
    <w:p>
      <w:pPr>
        <w:pStyle w:val="Compact"/>
        <w:numPr>
          <w:ilvl w:val="0"/>
          <w:numId w:val="1003"/>
        </w:numPr>
      </w:pPr>
      <w:r>
        <w:t xml:space="preserve">The same configuration problem repeats across geographies, languages and local cemetery rules.</w:t>
      </w:r>
    </w:p>
    <w:bookmarkEnd w:id="17"/>
    <w:bookmarkEnd w:id="18"/>
    <w:bookmarkStart w:id="21" w:name="the-wedge"/>
    <w:p>
      <w:pPr>
        <w:pStyle w:val="Heading1"/>
      </w:pPr>
      <w:r>
        <w:t xml:space="preserve">The wedge</w:t>
      </w:r>
    </w:p>
    <w:bookmarkStart w:id="19" w:name="X3b14e9e2d3c9c0d244ca7532dc9a7df8b5b7ac8"/>
    <w:p>
      <w:pPr>
        <w:pStyle w:val="Heading2"/>
      </w:pPr>
      <w:r>
        <w:t xml:space="preserve">Build from an operating D2C base. Extend into a scalable platform.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Established D2C business</w:t>
            </w:r>
          </w:p>
        </w:tc>
        <w:tc>
          <w:tcPr/>
          <w:p>
            <w:pPr>
              <w:pStyle w:val="Compact"/>
            </w:pPr>
            <w:r>
              <w:t xml:space="preserve">Next — B2B2C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SEO-led discovery and inspirational design gallery</w:t>
            </w:r>
          </w:p>
        </w:tc>
        <w:tc>
          <w:tcPr/>
          <w:p>
            <w:pPr>
              <w:pStyle w:val="Compact"/>
            </w:pPr>
            <w:r>
              <w:t xml:space="preserve">White-label studio for stonemasons, funeral homes and memorial parks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Existing configurator and order operations</w:t>
            </w:r>
          </w:p>
        </w:tc>
        <w:tc>
          <w:tcPr/>
          <w:p>
            <w:pPr>
              <w:pStyle w:val="Compact"/>
            </w:pPr>
            <w:r>
              <w:t xml:space="preserve">Dealer catalogue, margin rules, quoting, lead routing and proof 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In-house fulfilment for easy-to-ship plaques and small headstones</w:t>
            </w:r>
          </w:p>
        </w:tc>
        <w:tc>
          <w:tcPr/>
          <w:p>
            <w:pPr>
              <w:pStyle w:val="Compact"/>
            </w:pPr>
            <w:r>
              <w:t xml:space="preserve">Local production and installation network for complex monuments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Business model:</w:t>
      </w:r>
      <w:r>
        <w:t xml:space="preserve"> </w:t>
      </w:r>
      <w:r>
        <w:t xml:space="preserve">a hybrid fulfilment engine — own product margin where shipping and production are predictable; partner production/installation margin or commission where the product is large, complex or location-dependent; software fees or transaction fees only where a partner uses the platform independently.</w:t>
      </w:r>
    </w:p>
    <w:bookmarkEnd w:id="19"/>
    <w:bookmarkStart w:id="20" w:name="Xfd3f7feb05f19eb02dad4af246786913039563c"/>
    <w:p>
      <w:pPr>
        <w:pStyle w:val="Heading2"/>
      </w:pPr>
      <w:r>
        <w:t xml:space="preserve">Fulfilment follows product complexity, not a one-size-fits-all supply chain.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Easy-shipping plaques:</w:t>
      </w:r>
      <w:r>
        <w:t xml:space="preserve"> </w:t>
      </w:r>
      <w:r>
        <w:t xml:space="preserve">produced and fulfilled in-house for speed, quality control and margin.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Small headstones:</w:t>
      </w:r>
      <w:r>
        <w:t xml:space="preserve"> </w:t>
      </w:r>
      <w:r>
        <w:t xml:space="preserve">fulfilled in-house where logistics and installation are manageable.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monuments:</w:t>
      </w:r>
      <w:r>
        <w:t xml:space="preserve"> </w:t>
      </w:r>
      <w:r>
        <w:t xml:space="preserve">sourced through factories and local partners where that lowers transport cost and gives families access to qualified installers.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Platform control remains central:</w:t>
      </w:r>
      <w:r>
        <w:t xml:space="preserve"> </w:t>
      </w:r>
      <w:r>
        <w:t xml:space="preserve">Forever Shining owns the digital design, pricing logic, proofing, customer journey and partner-routing rules.</w:t>
      </w:r>
    </w:p>
    <w:bookmarkEnd w:id="20"/>
    <w:bookmarkEnd w:id="21"/>
    <w:bookmarkStart w:id="23" w:name="the-advantage"/>
    <w:p>
      <w:pPr>
        <w:pStyle w:val="Heading1"/>
      </w:pPr>
      <w:r>
        <w:t xml:space="preserve">The advantage</w:t>
      </w:r>
    </w:p>
    <w:bookmarkStart w:id="22" w:name="X441f6190db7443f227e88dca8afc003a6d67aa6"/>
    <w:p>
      <w:pPr>
        <w:pStyle w:val="Heading2"/>
      </w:pPr>
      <w:r>
        <w:t xml:space="preserve">Operating knowledge plus software that understands the physical product.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 years</w:t>
      </w:r>
      <w:r>
        <w:t xml:space="preserve"> </w:t>
      </w:r>
      <w:r>
        <w:t xml:space="preserve">of Australian market, customer, product, pricing and fulfilment experience in a difficult, high-consideration category — including approximately seven years of live online configuration.</w:t>
      </w:r>
    </w:p>
    <w:p>
      <w:pPr>
        <w:pStyle w:val="Compact"/>
        <w:numPr>
          <w:ilvl w:val="0"/>
          <w:numId w:val="1005"/>
        </w:numPr>
      </w:pPr>
      <w:r>
        <w:t xml:space="preserve">Established product, pricing and production knowledge informs the catalogue and workflow of the new platform.</w:t>
      </w:r>
    </w:p>
    <w:p>
      <w:pPr>
        <w:pStyle w:val="Compact"/>
        <w:numPr>
          <w:ilvl w:val="0"/>
          <w:numId w:val="1005"/>
        </w:numPr>
      </w:pPr>
      <w:r>
        <w:t xml:space="preserve">The next-generation build adds real-time 3D rendering, a reusable catalogue/pricing engine, saved/shareable designs and a more scalable quote-to-order flow.</w:t>
      </w:r>
    </w:p>
    <w:p>
      <w:pPr>
        <w:pStyle w:val="Compact"/>
        <w:numPr>
          <w:ilvl w:val="0"/>
          <w:numId w:val="1005"/>
        </w:numPr>
      </w:pPr>
      <w:r>
        <w:t xml:space="preserve">The platform can be adapted to a partner catalogue rather than rebuilt for each supplier.</w:t>
      </w:r>
    </w:p>
    <w:p>
      <w:pPr>
        <w:pStyle w:val="FirstParagraph"/>
      </w:pPr>
      <w:r>
        <w:rPr>
          <w:b/>
          <w:bCs/>
        </w:rPr>
        <w:t xml:space="preserve">Defensibility is earned through catalogue depth, manufacturing integrations, conversion data and partner distribution.</w:t>
      </w:r>
      <w:r>
        <w:t xml:space="preserve"> </w:t>
      </w:r>
      <w:r>
        <w:t xml:space="preserve">It should not be represented as a completed moat today.</w:t>
      </w:r>
    </w:p>
    <w:bookmarkEnd w:id="22"/>
    <w:bookmarkEnd w:id="23"/>
    <w:bookmarkStart w:id="29" w:name="proof-of-execution"/>
    <w:p>
      <w:pPr>
        <w:pStyle w:val="Heading1"/>
      </w:pPr>
      <w:r>
        <w:t xml:space="preserve">Proof of execution</w:t>
      </w:r>
    </w:p>
    <w:bookmarkStart w:id="28" w:name="X8ab35e30dde11472cb8235293dab551ab77ddaf"/>
    <w:p>
      <w:pPr>
        <w:pStyle w:val="Heading2"/>
      </w:pPr>
      <w:r>
        <w:t xml:space="preserve">The core business is live and selling; the new build is a scale-up project.</w:t>
      </w:r>
    </w:p>
    <w:p>
      <w:pPr>
        <w:pStyle w:val="Compact"/>
        <w:numPr>
          <w:ilvl w:val="0"/>
          <w:numId w:val="1006"/>
        </w:numPr>
      </w:pPr>
      <w:r>
        <w:t xml:space="preserve">Forever Shining has operated in Australia for</w:t>
      </w:r>
      <w:r>
        <w:t xml:space="preserve"> </w:t>
      </w:r>
      <w:r>
        <w:rPr>
          <w:b/>
          <w:bCs/>
        </w:rPr>
        <w:t xml:space="preserve">20 years</w:t>
      </w:r>
      <w:r>
        <w:t xml:space="preserve">. Its existing configurator has been live for approximately</w:t>
      </w:r>
      <w:r>
        <w:t xml:space="preserve"> </w:t>
      </w:r>
      <w:r>
        <w:rPr>
          <w:b/>
          <w:bCs/>
        </w:rPr>
        <w:t xml:space="preserve">seven years</w:t>
      </w:r>
      <w:r>
        <w:t xml:space="preserve"> </w:t>
      </w:r>
      <w:r>
        <w:t xml:space="preserve">and generates revenue.</w:t>
      </w:r>
    </w:p>
    <w:p>
      <w:pPr>
        <w:pStyle w:val="Compact"/>
        <w:numPr>
          <w:ilvl w:val="0"/>
          <w:numId w:val="1006"/>
        </w:numPr>
      </w:pPr>
      <w:r>
        <w:t xml:space="preserve">Two internal current-order views dated 16 September 2026 show 28 visible orders:</w:t>
      </w:r>
      <w:r>
        <w:t xml:space="preserve"> </w:t>
      </w:r>
      <w:r>
        <w:rPr>
          <w:b/>
          <w:bCs/>
        </w:rPr>
        <w:t xml:space="preserve">9,747–9,761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9,800–9,814</w:t>
      </w:r>
      <w:r>
        <w:t xml:space="preserve">. The displayed gross order value across those sampled rows is</w:t>
      </w:r>
      <w:r>
        <w:t xml:space="preserve"> </w:t>
      </w:r>
      <w:r>
        <w:rPr>
          <w:b/>
          <w:bCs/>
        </w:rPr>
        <w:t xml:space="preserve">A$133,362.29</w:t>
      </w:r>
      <w:r>
        <w:t xml:space="preserve">.</w:t>
      </w:r>
      <w:r>
        <w:rPr>
          <w:rStyle w:val="FootnoteReference"/>
        </w:rPr>
        <w:footnoteReference w:id="24"/>
      </w:r>
    </w:p>
    <w:p>
      <w:pPr>
        <w:pStyle w:val="Compact"/>
        <w:numPr>
          <w:ilvl w:val="0"/>
          <w:numId w:val="1006"/>
        </w:numPr>
      </w:pPr>
      <w:r>
        <w:t xml:space="preserve">This is operating-business evidence, not a claim that the samples represent all sales in the period or that all visible orders are paid, fulfilled, unique customers or recognised revenue. Payment and fulfilment statuses vary by row.</w:t>
      </w:r>
    </w:p>
    <w:p>
      <w:pPr>
        <w:pStyle w:val="Compact"/>
        <w:numPr>
          <w:ilvl w:val="0"/>
          <w:numId w:val="1006"/>
        </w:numPr>
      </w:pPr>
      <w:r>
        <w:t xml:space="preserve">The next-generation 3D application is a not-yet-deployed replacement/expansion. Its test-site traffic and analytics must not be used as commercial traction.</w:t>
      </w:r>
    </w:p>
    <w:p>
      <w:pPr>
        <w:pStyle w:val="Compact"/>
        <w:numPr>
          <w:ilvl w:val="0"/>
          <w:numId w:val="1006"/>
        </w:numPr>
      </w:pPr>
      <w:r>
        <w:t xml:space="preserve">Historical generator records can support a product-usage narrative only after deduplication and privacy review; they are not sales or customer counts.</w:t>
      </w:r>
      <w:r>
        <w:rPr>
          <w:rStyle w:val="FootnoteReference"/>
        </w:rPr>
        <w:footnoteReference w:id="25"/>
      </w:r>
    </w:p>
    <w:bookmarkEnd w:id="28"/>
    <w:bookmarkEnd w:id="29"/>
    <w:bookmarkStart w:id="31" w:name="what-we-will-prove-next"/>
    <w:p>
      <w:pPr>
        <w:pStyle w:val="Heading1"/>
      </w:pPr>
      <w:r>
        <w:t xml:space="preserve">What we will prove next</w:t>
      </w:r>
    </w:p>
    <w:bookmarkStart w:id="30" w:name="X936dcd4d525d984ddc8e59f3c3ab752c3fbf882"/>
    <w:p>
      <w:pPr>
        <w:pStyle w:val="Heading2"/>
      </w:pPr>
      <w:r>
        <w:t xml:space="preserve">A focused 12-month scale-up and validation plan.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Evidence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the live business</w:t>
            </w:r>
          </w:p>
        </w:tc>
        <w:tc>
          <w:tcPr/>
          <w:p>
            <w:pPr>
              <w:pStyle w:val="Compact"/>
            </w:pPr>
            <w:r>
              <w:t xml:space="preserve">Monthly revenue, paid orders, AOV, gross margin, cancellation rate and fulfilment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Design-to-enquiry conversion</w:t>
            </w:r>
          </w:p>
        </w:tc>
        <w:tc>
          <w:tcPr/>
          <w:p>
            <w:pPr>
              <w:pStyle w:val="Compact"/>
            </w:pPr>
            <w:r>
              <w:t xml:space="preserve">Compare legacy and next-platform qualified enquiry rate, time to quote and quote acceptance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D2C unit economics</w:t>
            </w:r>
          </w:p>
        </w:tc>
        <w:tc>
          <w:tcPr/>
          <w:p>
            <w:pPr>
              <w:pStyle w:val="Compact"/>
            </w:pPr>
            <w:r>
              <w:t xml:space="preserve">CAC by channel, gross margin, payback and cancellation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 product-market fit</w:t>
            </w:r>
          </w:p>
        </w:tc>
        <w:tc>
          <w:tcPr/>
          <w:p>
            <w:pPr>
              <w:pStyle w:val="Compact"/>
            </w:pPr>
            <w:r>
              <w:t xml:space="preserve">3–5 paid white-label pilots with independent operators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repeatability</w:t>
            </w:r>
          </w:p>
        </w:tc>
        <w:tc>
          <w:tcPr/>
          <w:p>
            <w:pPr>
              <w:pStyle w:val="Compact"/>
            </w:pPr>
            <w:r>
              <w:t xml:space="preserve">A new partner catalogue onboarded in days, not custom development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Manufacturing readiness</w:t>
            </w:r>
          </w:p>
        </w:tc>
        <w:tc>
          <w:tcPr/>
          <w:p>
            <w:pPr>
              <w:pStyle w:val="Compact"/>
            </w:pPr>
            <w:r>
              <w:t xml:space="preserve">Approved proof → production handoff with zero avoidable rework</w:t>
            </w:r>
          </w:p>
        </w:tc>
      </w:tr>
    </w:tbl>
    <w:p>
      <w:pPr>
        <w:pStyle w:val="BodyText"/>
      </w:pPr>
      <w:r>
        <w:t xml:space="preserve">The initial objective is to instrument and grow the existing profitable-order engine, then prove that the new platform improves conversion and supports partner distribution.</w:t>
      </w:r>
    </w:p>
    <w:bookmarkEnd w:id="30"/>
    <w:bookmarkEnd w:id="31"/>
    <w:bookmarkStart w:id="33" w:name="go-to-market"/>
    <w:p>
      <w:pPr>
        <w:pStyle w:val="Heading1"/>
      </w:pPr>
      <w:r>
        <w:t xml:space="preserve">Go-to-market</w:t>
      </w:r>
    </w:p>
    <w:bookmarkStart w:id="32" w:name="X87667c0dc120c6d2a21bd374ffa3edf89b893ca"/>
    <w:p>
      <w:pPr>
        <w:pStyle w:val="Heading2"/>
      </w:pPr>
      <w:r>
        <w:t xml:space="preserve">Win trust locally, then scale through distribution.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Australia D2C:</w:t>
      </w:r>
      <w:r>
        <w:t xml:space="preserve"> </w:t>
      </w:r>
      <w:r>
        <w:t xml:space="preserve">intent SEO, design-gallery content, paid search around high-intent categories, assisted online design and in-house fulfilment for simple products.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Regional partner network:</w:t>
      </w:r>
      <w:r>
        <w:t xml:space="preserve"> </w:t>
      </w:r>
      <w:r>
        <w:t xml:space="preserve">pair complex monument orders with suitable factories and installers to reduce freight and installation friction.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Operator pilots:</w:t>
      </w:r>
      <w:r>
        <w:t xml:space="preserve"> </w:t>
      </w:r>
      <w:r>
        <w:t xml:space="preserve">give selected stonemasons/funeral providers a branded studio for their catalogue, leads and proof approvals.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Channel expansion:</w:t>
      </w:r>
      <w:r>
        <w:t xml:space="preserve"> </w:t>
      </w:r>
      <w:r>
        <w:t xml:space="preserve">industry associations, funeral-home groups, cemetery/memorial-park relationships and manufacturers.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Internationalisation:</w:t>
      </w:r>
      <w:r>
        <w:t xml:space="preserve"> </w:t>
      </w:r>
      <w:r>
        <w:t xml:space="preserve">local catalogues, measurement conventions, currency/tax and cemetery requirements — only after the unit-economics and partner playbook work in Australia.</w:t>
      </w:r>
    </w:p>
    <w:p>
      <w:pPr>
        <w:pStyle w:val="FirstParagraph"/>
      </w:pPr>
      <w:r>
        <w:rPr>
          <w:b/>
          <w:bCs/>
        </w:rPr>
        <w:t xml:space="preserve">Distribution principle:</w:t>
      </w:r>
      <w:r>
        <w:t xml:space="preserve"> </w:t>
      </w:r>
      <w:r>
        <w:t xml:space="preserve">the platform augments local experts and craft; it does not attempt to replace them.</w:t>
      </w:r>
    </w:p>
    <w:bookmarkEnd w:id="32"/>
    <w:bookmarkEnd w:id="33"/>
    <w:bookmarkStart w:id="35" w:name="market-strategy"/>
    <w:p>
      <w:pPr>
        <w:pStyle w:val="Heading1"/>
      </w:pPr>
      <w:r>
        <w:t xml:space="preserve">Market strategy</w:t>
      </w:r>
    </w:p>
    <w:bookmarkStart w:id="34" w:name="Xb9cb3a8c172ef41b9c8e90e69410e9939bf0d80"/>
    <w:p>
      <w:pPr>
        <w:pStyle w:val="Heading2"/>
      </w:pPr>
      <w:r>
        <w:t xml:space="preserve">A narrow beachhead can support a much larger software outcome.</w:t>
      </w:r>
    </w:p>
    <w:p>
      <w:pPr>
        <w:pStyle w:val="FirstParagraph"/>
      </w:pPr>
      <w:r>
        <w:rPr>
          <w:b/>
          <w:bCs/>
        </w:rPr>
        <w:t xml:space="preserve">Beachhead:</w:t>
      </w:r>
      <w:r>
        <w:t xml:space="preserve"> </w:t>
      </w:r>
      <w:r>
        <w:t xml:space="preserve">Australian custom plaques and headstones, where the team has 20 years of operating experience and already runs a live, revenue-generating configurator and order workflow.</w:t>
      </w:r>
    </w:p>
    <w:p>
      <w:pPr>
        <w:pStyle w:val="BodyText"/>
      </w:pPr>
      <w:r>
        <w:rPr>
          <w:b/>
          <w:bCs/>
        </w:rPr>
        <w:t xml:space="preserve">Expansion:</w:t>
      </w:r>
      <w:r>
        <w:t xml:space="preserve"> </w:t>
      </w:r>
      <w:r>
        <w:t xml:space="preserve">broader memorial products → independent operators → multi-site funeral and memorial-park networks → English-speaking markets.</w:t>
      </w:r>
    </w:p>
    <w:p>
      <w:pPr>
        <w:pStyle w:val="BodyText"/>
      </w:pPr>
      <w:r>
        <w:rPr>
          <w:b/>
          <w:bCs/>
        </w:rPr>
        <w:t xml:space="preserve">Sizing discipline:</w:t>
      </w:r>
      <w:r>
        <w:t xml:space="preserve"> </w:t>
      </w:r>
      <w:r>
        <w:t xml:space="preserve">do not present a top-down TAM as revenue. Before investor meetings, build a bottom-up model from: addressable suppliers × catalogue/transaction volume × achievable software or take-rate revenue. Attach named market sources and state the geography and year for every figure.</w:t>
      </w:r>
    </w:p>
    <w:bookmarkEnd w:id="34"/>
    <w:bookmarkEnd w:id="35"/>
    <w:bookmarkStart w:id="37" w:name="team"/>
    <w:p>
      <w:pPr>
        <w:pStyle w:val="Heading1"/>
      </w:pPr>
      <w:r>
        <w:t xml:space="preserve">Team</w:t>
      </w:r>
    </w:p>
    <w:bookmarkStart w:id="36" w:name="X088c432df3c3848a8f709cef4e582d57ea9c1d4"/>
    <w:p>
      <w:pPr>
        <w:pStyle w:val="Heading2"/>
      </w:pPr>
      <w:r>
        <w:t xml:space="preserve">Built by people close to the customer problem.</w:t>
      </w:r>
    </w:p>
    <w:p>
      <w:pPr>
        <w:pStyle w:val="FirstParagraph"/>
      </w:pPr>
      <w:r>
        <w:rPr>
          <w:b/>
          <w:bCs/>
        </w:rPr>
        <w:t xml:space="preserve">[FOUNDER NAME] — [role]</w:t>
      </w:r>
      <w:r>
        <w:br/>
      </w:r>
      <w:r>
        <w:t xml:space="preserve">[One sentence linking direct sector, product, commercial or technical credibility to Forever Shining.]</w:t>
      </w:r>
    </w:p>
    <w:p>
      <w:pPr>
        <w:pStyle w:val="BodyText"/>
      </w:pPr>
      <w:r>
        <w:rPr>
          <w:b/>
          <w:bCs/>
        </w:rPr>
        <w:t xml:space="preserve">[FOUNDER / KEY OPERATOR NAME] — [role]</w:t>
      </w:r>
      <w:r>
        <w:br/>
      </w:r>
      <w:r>
        <w:t xml:space="preserve">[One sentence on complementary execution capability.]</w:t>
      </w:r>
    </w:p>
    <w:p>
      <w:pPr>
        <w:pStyle w:val="BodyText"/>
      </w:pPr>
      <w:r>
        <w:rPr>
          <w:b/>
          <w:bCs/>
        </w:rPr>
        <w:t xml:space="preserve">Hiring with this round:</w:t>
      </w:r>
      <w:r>
        <w:t xml:space="preserve"> </w:t>
      </w:r>
      <w:r>
        <w:t xml:space="preserve">partner sales / onboarding, product-engineering capacity and performance marketing.</w:t>
      </w:r>
    </w:p>
    <w:p>
      <w:pPr>
        <w:pStyle w:val="BlockText"/>
      </w:pPr>
      <w:r>
        <w:t xml:space="preserve">Do not send this slide with placeholders. Add LinkedIn URLs, the relevant operator track record and equity/commitment status.</w:t>
      </w:r>
    </w:p>
    <w:bookmarkEnd w:id="36"/>
    <w:bookmarkEnd w:id="37"/>
    <w:bookmarkStart w:id="39" w:name="the-raise"/>
    <w:p>
      <w:pPr>
        <w:pStyle w:val="Heading1"/>
      </w:pPr>
      <w:r>
        <w:t xml:space="preserve">The raise</w:t>
      </w:r>
    </w:p>
    <w:bookmarkStart w:id="38" w:name="X522d15e44f182f6ae685d33a3f756952a7a2b1d"/>
    <w:p>
      <w:pPr>
        <w:pStyle w:val="Heading2"/>
      </w:pPr>
      <w:r>
        <w:t xml:space="preserve">Raising growth capital to modernise the proven D2C engine and establish partner distribution.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 of funds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Indicative allocation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&amp; integrations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White-label, partner catalogue, routing and production-handoff capabilities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Go-to-market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Measured D2C acquisition and partner-pilot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&amp; operations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Core hires, customer support and onboarding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Security, compliance &amp; contingency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Production hardening and operating buffer</w:t>
            </w:r>
          </w:p>
        </w:tc>
      </w:tr>
    </w:tbl>
    <w:p>
      <w:pPr>
        <w:pStyle w:val="BodyText"/>
      </w:pPr>
      <w:r>
        <w:rPr>
          <w:b/>
          <w:bCs/>
        </w:rPr>
        <w:t xml:space="preserve">Target runway:</w:t>
      </w:r>
      <w:r>
        <w:t xml:space="preserve"> </w:t>
      </w:r>
      <w:r>
        <w:t xml:space="preserve">18 months, subject to the financial model.</w:t>
      </w:r>
      <w:r>
        <w:br/>
      </w:r>
      <w:r>
        <w:rPr>
          <w:b/>
          <w:bCs/>
        </w:rPr>
        <w:t xml:space="preserve">Round mechanics:</w:t>
      </w:r>
      <w:r>
        <w:t xml:space="preserve"> </w:t>
      </w:r>
      <w:r>
        <w:t xml:space="preserve">SAFE / convertible note or priced equity — set only after counsel, cap-table and valuation discussion.</w:t>
      </w:r>
    </w:p>
    <w:p>
      <w:pPr>
        <w:pStyle w:val="BlockText"/>
      </w:pPr>
      <w:r>
        <w:t xml:space="preserve">Insert the raise amount only after reconciling current revenue, gross margin, cash, working capital and the platform plan. Investors should receive a monthly operating-history table, not test-site analytics.</w:t>
      </w:r>
    </w:p>
    <w:bookmarkEnd w:id="38"/>
    <w:bookmarkEnd w:id="39"/>
    <w:bookmarkStart w:id="41" w:name="why-invest-now"/>
    <w:p>
      <w:pPr>
        <w:pStyle w:val="Heading1"/>
      </w:pPr>
      <w:r>
        <w:t xml:space="preserve">Why invest now</w:t>
      </w:r>
    </w:p>
    <w:bookmarkStart w:id="40" w:name="Xe1fabed134386c8e38765d2796f1938c1099759"/>
    <w:p>
      <w:pPr>
        <w:pStyle w:val="Heading2"/>
      </w:pPr>
      <w:r>
        <w:t xml:space="preserve">A revenue-generating base, a clear modernisation path and an industry-ready distribution opportunity.</w:t>
      </w:r>
    </w:p>
    <w:p>
      <w:pPr>
        <w:pStyle w:val="Compact"/>
        <w:numPr>
          <w:ilvl w:val="0"/>
          <w:numId w:val="1008"/>
        </w:numPr>
      </w:pPr>
      <w:r>
        <w:t xml:space="preserve">A complex configuration, quoting and fulfilment problem has been solved in an Australian business with 20 years of operating experience and approximately seven years of live configuration.</w:t>
      </w:r>
    </w:p>
    <w:p>
      <w:pPr>
        <w:pStyle w:val="Compact"/>
        <w:numPr>
          <w:ilvl w:val="0"/>
          <w:numId w:val="1008"/>
        </w:numPr>
      </w:pPr>
      <w:r>
        <w:t xml:space="preserve">Current-order activity demonstrates continuing commercial operations; a reconciled financial history can substantiate the revenue story.</w:t>
      </w:r>
    </w:p>
    <w:p>
      <w:pPr>
        <w:pStyle w:val="Compact"/>
        <w:numPr>
          <w:ilvl w:val="0"/>
          <w:numId w:val="1008"/>
        </w:numPr>
      </w:pPr>
      <w:r>
        <w:t xml:space="preserve">The category supports product margin, partner-enabled fulfilment margin and recurring B2B software potential.</w:t>
      </w:r>
    </w:p>
    <w:p>
      <w:pPr>
        <w:pStyle w:val="Compact"/>
        <w:numPr>
          <w:ilvl w:val="0"/>
          <w:numId w:val="1008"/>
        </w:numPr>
      </w:pPr>
      <w:r>
        <w:t xml:space="preserve">Strategic pilot partners can accelerate trust, catalogue depth and route-to-market.</w:t>
      </w:r>
    </w:p>
    <w:p>
      <w:pPr>
        <w:pStyle w:val="FirstParagraph"/>
      </w:pPr>
      <w:r>
        <w:rPr>
          <w:b/>
          <w:bCs/>
        </w:rPr>
        <w:t xml:space="preserve">Ask:</w:t>
      </w:r>
      <w:r>
        <w:t xml:space="preserve"> </w:t>
      </w:r>
      <w:r>
        <w:t xml:space="preserve">introduce us to a lead investor and 3–5 Australian memorial/funeral operators willing to run paid design-studio pilots.</w:t>
      </w:r>
    </w:p>
    <w:p>
      <w:pPr>
        <w:pStyle w:val="BodyText"/>
      </w:pPr>
      <w:r>
        <w:t xml:space="preserve">Contact:</w:t>
      </w:r>
      <w:r>
        <w:t xml:space="preserve"> </w:t>
      </w:r>
      <w:r>
        <w:rPr>
          <w:b/>
          <w:bCs/>
        </w:rPr>
        <w:t xml:space="preserve">[FOUNDER EMAIL]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[FOUNDER LINKEDIN]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forevershining.com.au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Kroll / InvoCare scheme booklet, 2023, page 61:</w:t>
      </w:r>
      <w:r>
        <w:t xml:space="preserve"> </w:t>
      </w:r>
      <w:hyperlink r:id="rId16">
        <w:r>
          <w:rPr>
            <w:rStyle w:val="Hyperlink"/>
          </w:rPr>
          <w:t xml:space="preserve">https://announcements.asx.com.au/asxpdf/20230925/pdf/05v87t664yx9mg.pdf</w:t>
        </w:r>
      </w:hyperlink>
      <w:r>
        <w:t xml:space="preserve">. Market figure is third-party industry context, not company revenue.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Internal Forever Shining admin screenshots,</w:t>
      </w:r>
      <w:r>
        <w:t xml:space="preserve"> </w:t>
      </w:r>
      <w:r>
        <w:rPr>
          <w:rStyle w:val="VerbatimChar"/>
        </w:rPr>
        <w:t xml:space="preserve">screen.png</w:t>
      </w:r>
      <w:r>
        <w:t xml:space="preserve">, captured 16 September 2026. One shows rows 9801–9814 and the partially visible row 9800; another shows rows 9747–9761. The total is the sum of the displayed “Price A$” values; it is not an accounting report.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Public generator indexes inspected 16 September 2026:</w:t>
      </w:r>
      <w:r>
        <w:t xml:space="preserve"> </w:t>
      </w:r>
      <w:hyperlink r:id="rId26">
        <w:r>
          <w:rPr>
            <w:rStyle w:val="Hyperlink"/>
          </w:rPr>
          <w:t xml:space="preserve">https://forevershining.com.au/generator/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https://headstonesdesigner.com/generator/</w:t>
        </w:r>
      </w:hyperlink>
      <w:r>
        <w:t xml:space="preserve">. Records may include drafts, samples or duplicates; they are</w:t>
      </w:r>
      <w:r>
        <w:t xml:space="preserve"> </w:t>
      </w:r>
      <w:r>
        <w:rPr>
          <w:b/>
          <w:bCs/>
        </w:rPr>
        <w:t xml:space="preserve">not orders, unique customers, revenue or current-period activity</w:t>
      </w:r>
      <w:r>
        <w:t xml:space="preserve">. Confirm consent, access control and a deduplicated internal count before using externally.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A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s://announcements.asx.com.au/asxpdf/20230925/pdf/05v87t664yx9mg.pdf" TargetMode="External" /><Relationship Type="http://schemas.openxmlformats.org/officeDocument/2006/relationships/hyperlink" Id="rId26" Target="https://forevershining.com.au/generator/" TargetMode="External" /><Relationship Type="http://schemas.openxmlformats.org/officeDocument/2006/relationships/hyperlink" Id="rId27" Target="https://headstonesdesigner.com/generato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announcements.asx.com.au/asxpdf/20230925/pdf/05v87t664yx9mg.pdf" TargetMode="External" /><Relationship Type="http://schemas.openxmlformats.org/officeDocument/2006/relationships/hyperlink" Id="rId26" Target="https://forevershining.com.au/generator/" TargetMode="External" /><Relationship Type="http://schemas.openxmlformats.org/officeDocument/2006/relationships/hyperlink" Id="rId27" Target="https://headstonesdesigner.com/generato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Forever Shining</dc:title>
  <dc:creator>Confidential — September 2026</dc:creator>
  <dc:language>en-AU</dc:language>
  <cp:keywords/>
  <dcterms:created xsi:type="dcterms:W3CDTF">2026-09-16T18:44:31Z</dcterms:created>
  <dcterms:modified xsi:type="dcterms:W3CDTF">2026-09-16T18:44:31Z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subtitle">
    <vt:lpwstr>A 20-year Australian memorial business, modernising its proven digital sales engine</vt:lpwstr>
  </property>
</Properties>
</file>