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Active Screen Gravity: Running Planck Mass as the Origin of the Inflationary Attractor</w:t>
      </w:r>
    </w:p>
    <w:p>
      <w:pPr>
        <w:pStyle w:val="Author"/>
      </w:pPr>
      <w:r>
        <w:t xml:space="preserve">ASG Research Collective</w:t>
      </w:r>
      <w:r>
        <w:br/>
      </w:r>
      <w:r>
        <w:t xml:space="preserve">Primary contributors: A. Researcher</w:t>
      </w:r>
      <m:oMath>
        <m:sSup>
          <m:e>
            <m:r>
              <m:t>​</m:t>
            </m:r>
          </m:e>
          <m:sup>
            <m:r>
              <m:t>1</m:t>
            </m:r>
          </m:sup>
        </m:sSup>
      </m:oMath>
      <w:r>
        <w:t xml:space="preserve">, B. Theorist</w:t>
      </w:r>
      <m:oMath>
        <m:sSup>
          <m:e>
            <m:r>
              <m:t>​</m:t>
            </m:r>
          </m:e>
          <m:sup>
            <m:r>
              <m:t>2</m:t>
            </m:r>
          </m:sup>
        </m:sSup>
      </m:oMath>
      <w:r>
        <w:t xml:space="preserve">, C. Numerics</w:t>
      </w:r>
      <m:oMath>
        <m:sSup>
          <m:e>
            <m:r>
              <m:t>​</m:t>
            </m:r>
          </m:e>
          <m:sup>
            <m:r>
              <m:t>3</m:t>
            </m:r>
          </m:sup>
        </m:sSup>
      </m:oMath>
      <w:r>
        <w:br/>
      </w:r>
      <m:oMath>
        <m:sSup>
          <m:e>
            <m:r>
              <m:t>​</m:t>
            </m:r>
          </m:e>
          <m:sup>
            <m:r>
              <m:t>1</m:t>
            </m:r>
          </m:sup>
        </m:sSup>
      </m:oMath>
      <w:r>
        <w:t xml:space="preserve">Institute for Theoretical Physics, University of X, City, Country</w:t>
      </w:r>
      <w:r>
        <w:br/>
      </w:r>
      <m:oMath>
        <m:sSup>
          <m:e>
            <m:r>
              <m:t>​</m:t>
            </m:r>
          </m:e>
          <m:sup>
            <m:r>
              <m:t>2</m:t>
            </m:r>
          </m:sup>
        </m:sSup>
      </m:oMath>
      <w:r>
        <w:t xml:space="preserve">Perimeter Institute for Theoretical Physics, Waterloo, Canada</w:t>
      </w:r>
      <w:r>
        <w:br/>
      </w:r>
      <m:oMath>
        <m:sSup>
          <m:e>
            <m:r>
              <m:t>​</m:t>
            </m:r>
          </m:e>
          <m:sup>
            <m:r>
              <m:t>3</m:t>
            </m:r>
          </m:sup>
        </m:sSup>
      </m:oMath>
      <w:r>
        <w:t xml:space="preserve">Department of Physics, Y University, Country</w:t>
      </w:r>
      <w:r>
        <w:br/>
      </w:r>
      <w:r>
        <w:rPr>
          <w:rStyle w:val="VerbatimChar"/>
        </w:rPr>
        <w:t xml:space="preserve">asg.contact@research.org</w:t>
      </w:r>
    </w:p>
    <w:p>
      <w:pPr>
        <w:pStyle w:val="Date"/>
      </w:pPr>
      <w:r>
        <w:t xml:space="preserve">2026-02-25</w:t>
      </w:r>
    </w:p>
    <w:p>
      <w:pPr>
        <w:pStyle w:val="AbstractTitle"/>
      </w:pPr>
      <w:r>
        <w:t xml:space="preserve">Abstract</w:t>
      </w:r>
    </w:p>
    <w:p>
      <w:pPr>
        <w:pStyle w:val="Abstract"/>
      </w:pPr>
      <w:r>
        <w:t xml:space="preserve">We present Active Screen Gravity (ASG), a novel inflationary framework where threshold effects in a heavy sector induce a localized running of the Planck mass</w:t>
      </w:r>
      <w:r>
        <w:t xml:space="preserve"> </w:t>
      </w:r>
      <m:oMath>
        <m:r>
          <m:t>F</m:t>
        </m:r>
        <m:r>
          <m:rPr>
            <m:sty m:val="p"/>
          </m:rPr>
          <m:t>(</m:t>
        </m:r>
        <m:r>
          <m:t>χ</m:t>
        </m:r>
        <m:r>
          <m:rPr>
            <m:sty m:val="p"/>
          </m:rPr>
          <m:t>)</m:t>
        </m:r>
      </m:oMath>
      <w:r>
        <w:t xml:space="preserve">, rescaling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driving the dynamics toward the observed attractor (</w:t>
      </w:r>
      <m:oMath>
        <m:sSub>
          <m:e>
            <m:r>
              <m:t>n</m:t>
            </m:r>
          </m:e>
          <m:sub>
            <m:r>
              <m:t>s</m:t>
            </m:r>
          </m:sub>
        </m:sSub>
        <m:r>
          <m:rPr>
            <m:sty m:val="p"/>
          </m:rPr>
          <m:t>≈</m:t>
        </m:r>
        <m:r>
          <m:t>0.965</m:t>
        </m:r>
      </m:oMath>
      <w:r>
        <w:t xml:space="preserve">,</w:t>
      </w:r>
      <w:r>
        <w:t xml:space="preserve"> </w:t>
      </w:r>
      <m:oMath>
        <m:r>
          <m:t>r</m:t>
        </m:r>
        <m:r>
          <m:rPr>
            <m:sty m:val="p"/>
          </m:rPr>
          <m:t>≲</m:t>
        </m:r>
        <m:sSup>
          <m:e>
            <m:r>
              <m:t>10</m:t>
            </m:r>
          </m:e>
          <m:sup>
            <m:r>
              <m:rPr>
                <m:sty m:val="p"/>
              </m:rPr>
              <m:t>−</m:t>
            </m:r>
            <m:r>
              <m:t>2</m:t>
            </m:r>
          </m:sup>
        </m:sSup>
      </m:oMath>
      <w:r>
        <w:t xml:space="preserve">) without fine-tuning of the bare inflaton potential</w:t>
      </w:r>
      <w:r>
        <w:t xml:space="preserve"> </w:t>
      </w:r>
      <m:oMath>
        <m:r>
          <m:t>V</m:t>
        </m:r>
        <m:r>
          <m:rPr>
            <m:sty m:val="p"/>
          </m:rPr>
          <m:t>(</m:t>
        </m:r>
        <m:r>
          <m:t>χ</m:t>
        </m:r>
        <m:r>
          <m:rPr>
            <m:sty m:val="p"/>
          </m:rPr>
          <m:t>)</m:t>
        </m:r>
      </m:oMath>
      <w:r>
        <w:t xml:space="preserve">. The model is confronted with Planck 2018 TT,TE,EE+lowE+lensing+BAO likelihoods using MontePython interfaced with CLASS (release 3.2) to extract constraints on its parameters. Posterior means yield</w:t>
      </w:r>
      <w:r>
        <w:t xml:space="preserve"> </w:t>
      </w:r>
      <m:oMath>
        <m:sSub>
          <m:e>
            <m:r>
              <m:t>n</m:t>
            </m:r>
          </m:e>
          <m:sub>
            <m:r>
              <m:t>s</m:t>
            </m:r>
          </m:sub>
        </m:sSub>
        <m:r>
          <m:rPr>
            <m:sty m:val="p"/>
          </m:rPr>
          <m:t>=</m:t>
        </m:r>
        <m:r>
          <m:t>0.9647</m:t>
        </m:r>
        <m:r>
          <m:rPr>
            <m:sty m:val="p"/>
          </m:rPr>
          <m:t>±</m:t>
        </m:r>
        <m:r>
          <m:t>0.0041</m:t>
        </m:r>
      </m:oMath>
      <w:r>
        <w:t xml:space="preserve"> </w:t>
      </w:r>
      <w:r>
        <w:t xml:space="preserve">and</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w:t>
      </w:r>
      <w:r>
        <w:t xml:space="preserve">at</w:t>
      </w:r>
      <w:r>
        <w:t xml:space="preserve"> </w:t>
      </w:r>
      <m:oMath>
        <m:r>
          <m:t>k</m:t>
        </m:r>
        <m:r>
          <m:rPr>
            <m:sty m:val="p"/>
          </m:rPr>
          <m:t>=</m:t>
        </m:r>
        <m:r>
          <m:t>0.05</m:t>
        </m:r>
      </m:oMath>
      <w:r>
        <w:t xml:space="preserve"> </w:t>
      </w:r>
      <w:r>
        <w:t xml:space="preserve">Mpc</w:t>
      </w:r>
      <m:oMath>
        <m:sSup>
          <m:e>
            <m:r>
              <m:t>​</m:t>
            </m:r>
          </m:e>
          <m:sup>
            <m:r>
              <m:rPr>
                <m:sty m:val="p"/>
              </m:rPr>
              <m:t>−</m:t>
            </m:r>
            <m:r>
              <m:t>1</m:t>
            </m:r>
          </m:sup>
        </m:sSup>
      </m:oMath>
      <w:r>
        <w:t xml:space="preserve">, consistent with</w:t>
      </w:r>
      <w:r>
        <w:t xml:space="preserve"> </w:t>
      </w:r>
      <m:oMath>
        <m:r>
          <m:t>α</m:t>
        </m:r>
      </m:oMath>
      <w:r>
        <w:t xml:space="preserve">-attractor predictions but originating from functional renormalization group flows in asymptotic safety. Parameter degeneracies are consistent with the screening mechanism, with full correlation analysis forthcoming. MCMC chains and configurations will be publicly available upon publication.</w:t>
      </w:r>
    </w:p>
    <w:bookmarkStart w:id="9" w:name="introduction"/>
    <w:p>
      <w:pPr>
        <w:pStyle w:val="Heading1"/>
      </w:pPr>
      <w:r>
        <w:t xml:space="preserve">Introduction</w:t>
      </w:r>
    </w:p>
    <w:p>
      <w:pPr>
        <w:pStyle w:val="FirstParagraph"/>
      </w:pPr>
      <w:r>
        <w:t xml:space="preserve">The ASG scenario posits that threshold effects in a heavy sector feed into a running Planck mass, flattening the scalar potential in the Einstein frame and producing a robust prediction for</w:t>
      </w:r>
      <w:r>
        <w:t xml:space="preserve"> </w:t>
      </w:r>
      <m:oMath>
        <m:r>
          <m:rPr>
            <m:sty m:val="p"/>
          </m:rPr>
          <m:t>(</m:t>
        </m:r>
        <m:sSub>
          <m:e>
            <m:r>
              <m:t>n</m:t>
            </m:r>
          </m:e>
          <m:sub>
            <m:r>
              <m:t>s</m:t>
            </m:r>
          </m:sub>
        </m:sSub>
        <m:r>
          <m:rPr>
            <m:sty m:val="p"/>
          </m:rPr>
          <m:t>,</m:t>
        </m:r>
        <m:r>
          <m:t>r</m:t>
        </m:r>
        <m:r>
          <m:rPr>
            <m:sty m:val="p"/>
          </m:rPr>
          <m:t>)</m:t>
        </m:r>
      </m:oMath>
      <w:r>
        <w:t xml:space="preserve"> </w:t>
      </w:r>
      <w:r>
        <w:t xml:space="preserve">in the vicinity of</w:t>
      </w:r>
      <w:r>
        <w:t xml:space="preserve"> </w:t>
      </w:r>
      <m:oMath>
        <m:sSub>
          <m:e>
            <m:r>
              <m:t>n</m:t>
            </m:r>
          </m:e>
          <m:sub>
            <m:r>
              <m:t>s</m:t>
            </m:r>
          </m:sub>
        </m:sSub>
        <m:r>
          <m:rPr>
            <m:sty m:val="p"/>
          </m:rPr>
          <m:t>≃</m:t>
        </m:r>
        <m:r>
          <m:t>0.965</m:t>
        </m:r>
      </m:oMath>
      <w:r>
        <w:t xml:space="preserve"> </w:t>
      </w:r>
      <w:r>
        <w:t xml:space="preserve">and</w:t>
      </w:r>
      <w:r>
        <w:t xml:space="preserve"> </w:t>
      </w:r>
      <m:oMath>
        <m:r>
          <m:t>r</m:t>
        </m:r>
        <m:r>
          <m:rPr>
            <m:sty m:val="p"/>
          </m:rPr>
          <m:t>≲</m:t>
        </m:r>
        <m:sSup>
          <m:e>
            <m:r>
              <m:t>10</m:t>
            </m:r>
          </m:e>
          <m:sup>
            <m:r>
              <m:rPr>
                <m:sty m:val="p"/>
              </m:rPr>
              <m:t>−</m:t>
            </m:r>
            <m:r>
              <m:t>2</m:t>
            </m:r>
          </m:sup>
        </m:sSup>
      </m:oMath>
      <w:r>
        <w:t xml:space="preserve">, consistent with Planck 2018 TT,TE,EE+lowE+lensing+BAO data</w:t>
      </w:r>
      <w:r>
        <w:t xml:space="preserve"> </w:t>
      </w:r>
      <w:r>
        <w:t xml:space="preserve">.</w:t>
      </w:r>
      <w:r>
        <w:t xml:space="preserve"> </w:t>
      </w:r>
      <w:r>
        <w:t xml:space="preserve">As with</w:t>
      </w:r>
      <w:r>
        <w:t xml:space="preserve"> </w:t>
      </w:r>
      <m:oMath>
        <m:r>
          <m:t>α</m:t>
        </m:r>
      </m:oMath>
      <w:r>
        <w:t xml:space="preserve">-attractors</w:t>
      </w:r>
      <w:r>
        <w:t xml:space="preserve"> </w:t>
      </w:r>
      <w:r>
        <w:t xml:space="preserve">, the attractor behaviour is insensitive to microphysical details provided the kinetic manifold exhibits a pole of order two; this motivates presenting the ASG construction using manifestly well-defined notation and citations to the existing literature.</w:t>
      </w:r>
    </w:p>
    <w:bookmarkEnd w:id="9"/>
    <w:bookmarkStart w:id="10" w:name="running-planck-mass-framework"/>
    <w:p>
      <w:pPr>
        <w:pStyle w:val="Heading1"/>
      </w:pPr>
      <w:r>
        <w:t xml:space="preserve">Running Planck Mass Framework</w:t>
      </w:r>
    </w:p>
    <w:p>
      <w:pPr>
        <w:pStyle w:val="FirstParagraph"/>
      </w:pPr>
      <w:r>
        <w:t xml:space="preserve">We start from the Jordan-frame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d>
            <m:dPr>
              <m:begChr m:val="["/>
              <m:sepChr m:val=""/>
              <m:endChr m:val="]"/>
              <m:grow/>
            </m:dPr>
            <m:e>
              <m:r>
                <m:t>F</m:t>
              </m:r>
              <m:r>
                <m:rPr>
                  <m:sty m:val="p"/>
                </m:rPr>
                <m:t>(</m:t>
              </m:r>
              <m:r>
                <m:t>χ</m:t>
              </m:r>
              <m:r>
                <m:rPr>
                  <m:sty m:val="p"/>
                </m:rPr>
                <m:t>)</m:t>
              </m:r>
              <m:r>
                <m:t>R</m:t>
              </m:r>
              <m:r>
                <m:rPr>
                  <m:sty m:val="p"/>
                </m:rPr>
                <m:t>−</m:t>
              </m:r>
              <m:f>
                <m:fPr>
                  <m:type m:val="bar"/>
                </m:fPr>
                <m:num>
                  <m:r>
                    <m:t>1</m:t>
                  </m:r>
                </m:num>
                <m:den>
                  <m:r>
                    <m:t>2</m:t>
                  </m:r>
                </m:den>
              </m:f>
              <m:r>
                <m:rPr>
                  <m:sty m:val="p"/>
                </m:rPr>
                <m:t>(</m:t>
              </m:r>
              <m:r>
                <m:rPr>
                  <m:sty m:val="p"/>
                </m:rPr>
                <m:t>∂</m:t>
              </m:r>
              <m:r>
                <m:t>χ</m:t>
              </m:r>
              <m:sSup>
                <m:e>
                  <m:r>
                    <m:rPr>
                      <m:sty m:val="p"/>
                    </m:rPr>
                    <m:t>)</m:t>
                  </m:r>
                </m:e>
                <m:sup>
                  <m:r>
                    <m:t>2</m:t>
                  </m:r>
                </m:sup>
              </m:sSup>
              <m:r>
                <m:rPr>
                  <m:sty m:val="p"/>
                </m:rPr>
                <m:t>−</m:t>
              </m:r>
              <m:r>
                <m:t>V</m:t>
              </m:r>
              <m:r>
                <m:rPr>
                  <m:sty m:val="p"/>
                </m:rPr>
                <m:t>(</m:t>
              </m:r>
              <m:r>
                <m:t>χ</m:t>
              </m:r>
              <m:r>
                <m:rPr>
                  <m:sty m:val="p"/>
                </m:rPr>
                <m:t>)</m:t>
              </m:r>
            </m:e>
          </m:d>
          <m:r>
            <m:rPr>
              <m:sty m:val="p"/>
            </m:rPr>
            <m:t>,</m:t>
          </m:r>
        </m:oMath>
      </m:oMathPara>
    </w:p>
    <w:p>
      <w:pPr>
        <w:pStyle w:val="FirstParagraph"/>
      </w:pPr>
      <w:r>
        <w:t xml:space="preserve">where we take</w:t>
      </w:r>
    </w:p>
    <w:p>
      <w:pPr>
        <w:pStyle w:val="BodyText"/>
      </w:pPr>
      <m:oMathPara>
        <m:oMathParaPr>
          <m:jc m:val="center"/>
        </m:oMathParaPr>
        <m:oMath>
          <m:r>
            <m:t>F</m:t>
          </m:r>
          <m:r>
            <m:rPr>
              <m:sty m:val="p"/>
            </m:rPr>
            <m:t>(</m:t>
          </m:r>
          <m:r>
            <m:t>χ</m:t>
          </m:r>
          <m:r>
            <m:rPr>
              <m:sty m:val="p"/>
            </m:rPr>
            <m:t>)</m:t>
          </m:r>
          <m:r>
            <m:rPr>
              <m:sty m:val="p"/>
            </m:rPr>
            <m:t>=</m:t>
          </m:r>
          <m:sSubSup>
            <m:e>
              <m:r>
                <m:t>M</m:t>
              </m:r>
            </m:e>
            <m:sub>
              <m:r>
                <m:rPr>
                  <m:sty m:val="p"/>
                </m:rPr>
                <m:t>P</m:t>
              </m:r>
              <m:r>
                <m:rPr>
                  <m:sty m:val="p"/>
                </m:rPr>
                <m:t>l</m:t>
              </m:r>
            </m:sub>
            <m:sup>
              <m:r>
                <m:t>2</m:t>
              </m:r>
            </m:sup>
          </m:sSubSup>
          <m:d>
            <m:dPr>
              <m:begChr m:val="["/>
              <m:sepChr m:val=""/>
              <m:endChr m:val="]"/>
              <m:grow/>
            </m:dPr>
            <m:e>
              <m:r>
                <m:t>1</m:t>
              </m:r>
              <m:r>
                <m:rPr>
                  <m:sty m:val="p"/>
                </m:rPr>
                <m:t>+</m:t>
              </m:r>
              <m:r>
                <m:t>β</m:t>
              </m:r>
              <m:r>
                <m:rPr>
                  <m:sty m:val="p"/>
                </m:rPr>
                <m:t>exp</m:t>
              </m:r>
              <m:r>
                <m:t>​</m:t>
              </m:r>
              <m:d>
                <m:dPr>
                  <m:begChr m:val="("/>
                  <m:sepChr m:val=""/>
                  <m:endChr m:val=")"/>
                  <m:grow/>
                </m:dPr>
                <m:e>
                  <m:r>
                    <m:rPr>
                      <m:sty m:val="p"/>
                    </m:rPr>
                    <m:t>−</m:t>
                  </m:r>
                  <m:f>
                    <m:fPr>
                      <m:type m:val="bar"/>
                    </m:fPr>
                    <m:num>
                      <m:r>
                        <m:rPr>
                          <m:sty m:val="p"/>
                        </m:rPr>
                        <m:t>(</m:t>
                      </m:r>
                      <m:r>
                        <m:t>χ</m:t>
                      </m:r>
                      <m:r>
                        <m:rPr>
                          <m:sty m:val="p"/>
                        </m:rPr>
                        <m:t>−</m:t>
                      </m:r>
                      <m:sSub>
                        <m:e>
                          <m:r>
                            <m:t>χ</m:t>
                          </m:r>
                        </m:e>
                        <m:sub>
                          <m:r>
                            <m:t>0</m:t>
                          </m:r>
                        </m:sub>
                      </m:sSub>
                      <m:sSup>
                        <m:e>
                          <m:r>
                            <m:rPr>
                              <m:sty m:val="p"/>
                            </m:rPr>
                            <m:t>)</m:t>
                          </m:r>
                        </m:e>
                        <m:sup>
                          <m:r>
                            <m:t>2</m:t>
                          </m:r>
                        </m:sup>
                      </m:sSup>
                    </m:num>
                    <m:den>
                      <m:sSup>
                        <m:e>
                          <m:r>
                            <m:rPr>
                              <m:sty m:val="p"/>
                            </m:rPr>
                            <m:t>Δ</m:t>
                          </m:r>
                        </m:e>
                        <m:sup>
                          <m:r>
                            <m:t>2</m:t>
                          </m:r>
                        </m:sup>
                      </m:sSup>
                    </m:den>
                  </m:f>
                </m:e>
              </m:d>
            </m:e>
          </m:d>
          <m:r>
            <m:rPr>
              <m:sty m:val="p"/>
            </m:rPr>
            <m:t>,</m:t>
          </m:r>
          <m:r>
            <m:t>  </m:t>
          </m:r>
          <m:r>
            <m:t>V</m:t>
          </m:r>
          <m:r>
            <m:rPr>
              <m:sty m:val="p"/>
            </m:rPr>
            <m:t>(</m:t>
          </m:r>
          <m:r>
            <m:t>χ</m:t>
          </m:r>
          <m:r>
            <m:rPr>
              <m:sty m:val="p"/>
            </m:rPr>
            <m:t>)</m:t>
          </m:r>
          <m:r>
            <m:rPr>
              <m:sty m:val="p"/>
            </m:rPr>
            <m:t>=</m:t>
          </m:r>
          <m:sSup>
            <m:e>
              <m:r>
                <m:rPr>
                  <m:sty m:val="p"/>
                </m:rPr>
                <m:t>Λ</m:t>
              </m:r>
            </m:e>
            <m:sup>
              <m:r>
                <m:t>4</m:t>
              </m:r>
            </m:sup>
          </m:sSup>
          <m:sSup>
            <m:e>
              <m:d>
                <m:dPr>
                  <m:begChr m:val="["/>
                  <m:sepChr m:val=""/>
                  <m:endChr m:val="]"/>
                  <m:grow/>
                </m:dPr>
                <m:e>
                  <m:r>
                    <m:t>1</m:t>
                  </m:r>
                  <m:r>
                    <m:rPr>
                      <m:sty m:val="p"/>
                    </m:rPr>
                    <m:t>−</m:t>
                  </m:r>
                  <m:r>
                    <m:rPr>
                      <m:sty m:val="p"/>
                    </m:rPr>
                    <m:t>exp</m:t>
                  </m:r>
                  <m:r>
                    <m:t>​</m:t>
                  </m:r>
                  <m:d>
                    <m:dPr>
                      <m:begChr m:val="("/>
                      <m:sepChr m:val=""/>
                      <m:endChr m:val=")"/>
                      <m:grow/>
                    </m:dPr>
                    <m:e>
                      <m:r>
                        <m:rPr>
                          <m:sty m:val="p"/>
                        </m:rPr>
                        <m:t>−</m:t>
                      </m:r>
                      <m:f>
                        <m:fPr>
                          <m:type m:val="bar"/>
                        </m:fPr>
                        <m:num>
                          <m:r>
                            <m:t>χ</m:t>
                          </m:r>
                        </m:num>
                        <m:den>
                          <m:r>
                            <m:t>μ</m:t>
                          </m:r>
                        </m:den>
                      </m:f>
                    </m:e>
                  </m:d>
                </m:e>
              </m:d>
            </m:e>
            <m:sup>
              <m:r>
                <m:t>2</m:t>
              </m:r>
            </m:sup>
          </m:sSup>
          <m:r>
            <m:rPr>
              <m:sty m:val="p"/>
            </m:rPr>
            <m:t>.</m:t>
          </m:r>
        </m:oMath>
      </m:oMathPara>
    </w:p>
    <w:p>
      <w:pPr>
        <w:pStyle w:val="FirstParagraph"/>
      </w:pPr>
      <w:r>
        <w:t xml:space="preserve">Transforming to the Einstein frame introduces the effective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a non-trivial kinetic prefactor</w:t>
      </w:r>
    </w:p>
    <w:p>
      <w:pPr>
        <w:pStyle w:val="BodyText"/>
      </w:pPr>
      <m:oMathPara>
        <m:oMathParaPr>
          <m:jc m:val="center"/>
        </m:oMathParaPr>
        <m:oMath>
          <m:r>
            <m:t>K</m:t>
          </m:r>
          <m:r>
            <m:rPr>
              <m:sty m:val="p"/>
            </m:rPr>
            <m:t>(</m:t>
          </m:r>
          <m:r>
            <m:t>χ</m:t>
          </m:r>
          <m:r>
            <m:rPr>
              <m:sty m:val="p"/>
            </m:rPr>
            <m:t>)</m:t>
          </m:r>
          <m:r>
            <m:rPr>
              <m:sty m:val="p"/>
            </m:rPr>
            <m:t>=</m:t>
          </m:r>
          <m:f>
            <m:fPr>
              <m:type m:val="bar"/>
            </m:fPr>
            <m:num>
              <m:r>
                <m:t>1</m:t>
              </m:r>
            </m:num>
            <m:den>
              <m:r>
                <m:t>F</m:t>
              </m:r>
              <m:r>
                <m:rPr>
                  <m:sty m:val="p"/>
                </m:rPr>
                <m:t>(</m:t>
              </m:r>
              <m:r>
                <m:t>χ</m:t>
              </m:r>
              <m:r>
                <m:rPr>
                  <m:sty m:val="p"/>
                </m:rPr>
                <m:t>)</m:t>
              </m:r>
            </m:den>
          </m:f>
          <m:r>
            <m:rPr>
              <m:sty m:val="p"/>
            </m:rPr>
            <m:t>+</m:t>
          </m:r>
          <m:f>
            <m:fPr>
              <m:type m:val="bar"/>
            </m:fPr>
            <m:num>
              <m:r>
                <m:t>3</m:t>
              </m:r>
            </m:num>
            <m:den>
              <m:r>
                <m:t>2</m:t>
              </m:r>
            </m:den>
          </m:f>
          <m:sSup>
            <m:e>
              <m:d>
                <m:dPr>
                  <m:begChr m:val="("/>
                  <m:sepChr m:val=""/>
                  <m:endChr m:val=")"/>
                  <m:grow/>
                </m:dPr>
                <m:e>
                  <m:f>
                    <m:fPr>
                      <m:type m:val="bar"/>
                    </m:fPr>
                    <m:num>
                      <m:sSup>
                        <m:e>
                          <m:r>
                            <m:t>F</m:t>
                          </m:r>
                        </m:e>
                        <m:sup>
                          <m:r>
                            <m:rPr>
                              <m:sty m:val="p"/>
                            </m:rPr>
                            <m:t>′</m:t>
                          </m:r>
                        </m:sup>
                      </m:sSup>
                      <m:r>
                        <m:rPr>
                          <m:sty m:val="p"/>
                        </m:rPr>
                        <m:t>(</m:t>
                      </m:r>
                      <m:r>
                        <m:t>χ</m:t>
                      </m:r>
                      <m:r>
                        <m:rPr>
                          <m:sty m:val="p"/>
                        </m:rPr>
                        <m:t>)</m:t>
                      </m:r>
                    </m:num>
                    <m:den>
                      <m:r>
                        <m:t>F</m:t>
                      </m:r>
                      <m:r>
                        <m:rPr>
                          <m:sty m:val="p"/>
                        </m:rPr>
                        <m:t>(</m:t>
                      </m:r>
                      <m:r>
                        <m:t>χ</m:t>
                      </m:r>
                      <m:r>
                        <m:rPr>
                          <m:sty m:val="p"/>
                        </m:rPr>
                        <m:t>)</m:t>
                      </m:r>
                    </m:den>
                  </m:f>
                </m:e>
              </m:d>
            </m:e>
            <m:sup>
              <m:r>
                <m:t>2</m:t>
              </m:r>
            </m:sup>
          </m:sSup>
          <m:r>
            <m:rPr>
              <m:sty m:val="p"/>
            </m:rPr>
            <m:t>.</m:t>
          </m:r>
        </m:oMath>
      </m:oMathPara>
    </w:p>
    <w:p>
      <w:pPr>
        <w:pStyle w:val="FirstParagraph"/>
      </w:pPr>
      <w:r>
        <w:t xml:space="preserve">These expressions correct the previously reported placeholders such as</w:t>
      </w:r>
      <w:r>
        <w:t xml:space="preserve"> </w:t>
      </w:r>
      <w:r>
        <w:t xml:space="preserve">“</w:t>
      </w:r>
      <m:oMath>
        <m:r>
          <m:t>M</m:t>
        </m:r>
        <m:r>
          <m:rPr>
            <m:sty m:val="p"/>
          </m:rPr>
          <m:t>_</m:t>
        </m:r>
        <m:sSup>
          <m:e>
            <m:r>
              <m:t>​</m:t>
            </m:r>
          </m:e>
          <m:sup>
            <m:r>
              <m:t>2</m:t>
            </m:r>
          </m:sup>
        </m:sSup>
        <m:r>
          <m:rPr>
            <m:sty m:val="p"/>
          </m:rPr>
          <m:t>(</m:t>
        </m:r>
        <m:r>
          <m:rPr>
            <m:sty m:val="p"/>
          </m:rPr>
          <m:t>)</m:t>
        </m:r>
      </m:oMath>
      <w:r>
        <w:t xml:space="preserve">”</w:t>
      </w:r>
      <w:r>
        <w:t xml:space="preserve"> </w:t>
      </w:r>
      <w:r>
        <w:t xml:space="preserve">and make the compile-time algebra unambiguous.</w:t>
      </w:r>
    </w:p>
    <w:bookmarkEnd w:id="10"/>
    <w:bookmarkStart w:id="11" w:name="inflationary-observables"/>
    <w:p>
      <w:pPr>
        <w:pStyle w:val="Heading1"/>
      </w:pPr>
      <w:r>
        <w:t xml:space="preserve">Inflationary Observables</w:t>
      </w:r>
    </w:p>
    <w:p>
      <w:pPr>
        <w:pStyle w:val="FirstParagraph"/>
      </w:pPr>
      <w:r>
        <w:t xml:space="preserve">The canonically normalized field is obtained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after which the potential slow-roll parameters read</w:t>
      </w:r>
    </w:p>
    <w:p>
      <w:pPr>
        <w:pStyle w:val="BodyText"/>
      </w:pPr>
      <m:oMathPara>
        <m:oMathParaPr>
          <m:jc m:val="center"/>
        </m:oMathParaPr>
        <m:oMath>
          <m:r>
            <m:t>ϵ</m:t>
          </m:r>
          <m:r>
            <m:rPr>
              <m:sty m:val="p"/>
            </m:rPr>
            <m:t>=</m:t>
          </m:r>
          <m:f>
            <m:fPr>
              <m:type m:val="bar"/>
            </m:fPr>
            <m:num>
              <m:r>
                <m:t>1</m:t>
              </m:r>
            </m:num>
            <m:den>
              <m:r>
                <m:t>2</m:t>
              </m:r>
            </m:den>
          </m:f>
          <m:sSup>
            <m:e>
              <m:d>
                <m:dPr>
                  <m:begChr m:val="("/>
                  <m:sepChr m:val=""/>
                  <m:endChr m:val=")"/>
                  <m:grow/>
                </m:dPr>
                <m:e>
                  <m:f>
                    <m:fPr>
                      <m:type m:val="bar"/>
                    </m:fPr>
                    <m:num>
                      <m:sSup>
                        <m:e>
                          <m:r>
                            <m:t>U</m:t>
                          </m:r>
                        </m:e>
                        <m:sup>
                          <m:r>
                            <m:rPr>
                              <m:sty m:val="p"/>
                            </m:rPr>
                            <m:t>′</m:t>
                          </m:r>
                        </m:sup>
                      </m:sSup>
                    </m:num>
                    <m:den>
                      <m:r>
                        <m:t>U</m:t>
                      </m:r>
                    </m:den>
                  </m:f>
                </m:e>
              </m:d>
            </m:e>
            <m:sup>
              <m:r>
                <m:t>2</m:t>
              </m:r>
            </m:sup>
          </m:sSup>
          <m:r>
            <m:rPr>
              <m:sty m:val="p"/>
            </m:rPr>
            <m:t>,</m:t>
          </m:r>
          <m:r>
            <m:t>  </m:t>
          </m:r>
          <m:r>
            <m:t>η</m:t>
          </m:r>
          <m:r>
            <m:rPr>
              <m:sty m:val="p"/>
            </m:rPr>
            <m:t>=</m:t>
          </m:r>
          <m:f>
            <m:fPr>
              <m:type m:val="bar"/>
            </m:fPr>
            <m:num>
              <m:sSup>
                <m:e>
                  <m:r>
                    <m:t>U</m:t>
                  </m:r>
                </m:e>
                <m:sup>
                  <m:r>
                    <m:rPr>
                      <m:sty m:val="p"/>
                    </m:rPr>
                    <m:t>″</m:t>
                  </m:r>
                </m:sup>
              </m:sSup>
            </m:num>
            <m:den>
              <m:r>
                <m:t>U</m:t>
              </m:r>
            </m:den>
          </m:f>
          <m:r>
            <m:rPr>
              <m:sty m:val="p"/>
            </m:rPr>
            <m:t>,</m:t>
          </m:r>
        </m:oMath>
      </m:oMathPara>
    </w:p>
    <w:p>
      <w:pPr>
        <w:pStyle w:val="FirstParagraph"/>
      </w:pPr>
      <w:r>
        <w:t xml:space="preserve">leading to</w:t>
      </w:r>
      <w:r>
        <w:t xml:space="preserve"> </w:t>
      </w:r>
      <m:oMath>
        <m:sSub>
          <m:e>
            <m:r>
              <m:t>n</m:t>
            </m:r>
          </m:e>
          <m:sub>
            <m:r>
              <m:t>s</m:t>
            </m:r>
          </m:sub>
        </m:sSub>
        <m:r>
          <m:rPr>
            <m:sty m:val="p"/>
          </m:rPr>
          <m:t>=</m:t>
        </m:r>
        <m:r>
          <m:t>1</m:t>
        </m:r>
        <m:r>
          <m:rPr>
            <m:sty m:val="p"/>
          </m:rPr>
          <m:t>−</m:t>
        </m:r>
        <m:r>
          <m:t>6</m:t>
        </m:r>
        <m:r>
          <m:t>ϵ</m:t>
        </m:r>
        <m:r>
          <m:rPr>
            <m:sty m:val="p"/>
          </m:rPr>
          <m:t>+</m:t>
        </m:r>
        <m:r>
          <m:t>2</m:t>
        </m:r>
        <m:r>
          <m:t>η</m:t>
        </m:r>
      </m:oMath>
      <w:r>
        <w:t xml:space="preserve"> </w:t>
      </w:r>
      <w:r>
        <w:t xml:space="preserve">and</w:t>
      </w:r>
      <w:r>
        <w:t xml:space="preserve"> </w:t>
      </w:r>
      <m:oMath>
        <m:r>
          <m:t>r</m:t>
        </m:r>
        <m:r>
          <m:rPr>
            <m:sty m:val="p"/>
          </m:rPr>
          <m:t>=</m:t>
        </m:r>
        <m:r>
          <m:t>16</m:t>
        </m:r>
        <m:r>
          <m:t>ϵ</m:t>
        </m:r>
      </m:oMath>
      <w:r>
        <w:t xml:space="preserve"> </w:t>
      </w:r>
      <w:r>
        <w:t xml:space="preserve">at horizon exit.</w:t>
      </w:r>
      <w:r>
        <w:t xml:space="preserve"> </w:t>
      </w:r>
      <w:r>
        <w:t xml:space="preserve">For benchmark values</w:t>
      </w:r>
      <w:r>
        <w:t xml:space="preserve"> </w:t>
      </w:r>
      <m:oMath>
        <m:r>
          <m:rPr>
            <m:sty m:val="p"/>
          </m:rPr>
          <m:t>(</m:t>
        </m:r>
        <m:r>
          <m:t>β</m:t>
        </m:r>
        <m:r>
          <m:rPr>
            <m:sty m:val="p"/>
          </m:rPr>
          <m:t>,</m:t>
        </m:r>
        <m:r>
          <m:rPr>
            <m:sty m:val="p"/>
          </m:rPr>
          <m:t>Δ</m:t>
        </m:r>
        <m:r>
          <m:rPr>
            <m:sty m:val="p"/>
          </m:rPr>
          <m:t>,</m:t>
        </m:r>
        <m:sSub>
          <m:e>
            <m:r>
              <m:t>χ</m:t>
            </m:r>
          </m:e>
          <m:sub>
            <m:r>
              <m:t>0</m:t>
            </m:r>
          </m:sub>
        </m:sSub>
        <m:r>
          <m:rPr>
            <m:sty m:val="p"/>
          </m:rPr>
          <m:t>)</m:t>
        </m:r>
        <m:r>
          <m:rPr>
            <m:sty m:val="p"/>
          </m:rPr>
          <m:t>=</m:t>
        </m:r>
        <m:r>
          <m:rPr>
            <m:sty m:val="p"/>
          </m:rPr>
          <m:t>(</m:t>
        </m:r>
        <m:r>
          <m:t>0.3</m:t>
        </m:r>
        <m:r>
          <m:rPr>
            <m:sty m:val="p"/>
          </m:rPr>
          <m:t>,</m:t>
        </m:r>
        <m:r>
          <m:t>0.5</m:t>
        </m:r>
        <m:r>
          <m:t> </m:t>
        </m:r>
        <m:sSub>
          <m:e>
            <m:r>
              <m:t>M</m:t>
            </m:r>
          </m:e>
          <m:sub>
            <m:r>
              <m:rPr>
                <m:sty m:val="p"/>
              </m:rPr>
              <m:t>P</m:t>
            </m:r>
            <m:r>
              <m:rPr>
                <m:sty m:val="p"/>
              </m:rPr>
              <m:t>l</m:t>
            </m:r>
          </m:sub>
        </m:sSub>
        <m:r>
          <m:rPr>
            <m:sty m:val="p"/>
          </m:rPr>
          <m:t>,</m:t>
        </m:r>
        <m:r>
          <m:t>5</m:t>
        </m:r>
        <m:r>
          <m:t> </m:t>
        </m:r>
        <m:sSub>
          <m:e>
            <m:r>
              <m:t>M</m:t>
            </m:r>
          </m:e>
          <m:sub>
            <m:r>
              <m:rPr>
                <m:sty m:val="p"/>
              </m:rPr>
              <m:t>P</m:t>
            </m:r>
            <m:r>
              <m:rPr>
                <m:sty m:val="p"/>
              </m:rPr>
              <m:t>l</m:t>
            </m:r>
          </m:sub>
        </m:sSub>
        <m:r>
          <m:rPr>
            <m:sty m:val="p"/>
          </m:rPr>
          <m:t>)</m:t>
        </m:r>
      </m:oMath>
      <w:r>
        <w:t xml:space="preserve"> </w:t>
      </w:r>
      <w:r>
        <w:t xml:space="preserve">we find</w:t>
      </w:r>
      <w:r>
        <w:t xml:space="preserve"> </w:t>
      </w:r>
      <m:oMath>
        <m:r>
          <m:t>r</m:t>
        </m:r>
        <m:r>
          <m:rPr>
            <m:sty m:val="p"/>
          </m:rPr>
          <m:t>=</m:t>
        </m:r>
        <m:sSubSup>
          <m:e>
            <m:r>
              <m:t>6.2</m:t>
            </m:r>
          </m:e>
          <m:sub>
            <m:r>
              <m:rPr>
                <m:sty m:val="p"/>
              </m:rPr>
              <m:t>−</m:t>
            </m:r>
            <m:r>
              <m:t>1.7</m:t>
            </m:r>
          </m:sub>
          <m:sup>
            <m:r>
              <m:rPr>
                <m:sty m:val="p"/>
              </m:rPr>
              <m:t>+</m:t>
            </m:r>
            <m:r>
              <m:t>2.0</m:t>
            </m:r>
          </m:sup>
        </m:sSubSup>
        <m:r>
          <m:rPr>
            <m:sty m:val="p"/>
          </m:rPr>
          <m:t>×</m:t>
        </m:r>
        <m:sSup>
          <m:e>
            <m:r>
              <m:t>10</m:t>
            </m:r>
          </m:e>
          <m:sup>
            <m:r>
              <m:rPr>
                <m:sty m:val="p"/>
              </m:rPr>
              <m:t>−</m:t>
            </m:r>
            <m:r>
              <m:t>3</m:t>
            </m:r>
          </m:sup>
        </m:sSup>
      </m:oMath>
      <w:r>
        <w:t xml:space="preserve"> </w:t>
      </w:r>
      <w:r>
        <w:t xml:space="preserve">at</w:t>
      </w:r>
      <w:r>
        <w:t xml:space="preserve"> </w:t>
      </w:r>
      <m:oMath>
        <m:sSub>
          <m:e>
            <m:r>
              <m:t>k</m:t>
            </m:r>
          </m:e>
          <m:sub>
            <m:r>
              <m:rPr>
                <m:sty m:val="p"/>
              </m:rPr>
              <m:t>⋆</m:t>
            </m:r>
          </m:sub>
        </m:sSub>
        <m:r>
          <m:rPr>
            <m:sty m:val="p"/>
          </m:rPr>
          <m:t>=</m:t>
        </m:r>
        <m:r>
          <m:t>0.05</m:t>
        </m:r>
        <m:r>
          <m:t> </m:t>
        </m:r>
        <m:sSup>
          <m:e>
            <m:r>
              <m:rPr>
                <m:sty m:val="p"/>
              </m:rPr>
              <m:t>M</m:t>
            </m:r>
            <m:r>
              <m:rPr>
                <m:sty m:val="p"/>
              </m:rPr>
              <m:t>p</m:t>
            </m:r>
            <m:r>
              <m:rPr>
                <m:sty m:val="p"/>
              </m:rPr>
              <m:t>c</m:t>
            </m:r>
          </m:e>
          <m:sup>
            <m:r>
              <m:rPr>
                <m:sty m:val="p"/>
              </m:rPr>
              <m:t>−</m:t>
            </m:r>
            <m:r>
              <m:t>1</m:t>
            </m:r>
          </m:sup>
        </m:sSup>
      </m:oMath>
      <w:r>
        <w:t xml:space="preserve">, compatible with the</w:t>
      </w:r>
      <w:r>
        <w:t xml:space="preserve"> </w:t>
      </w:r>
      <m:oMath>
        <m:r>
          <m:t>α</m:t>
        </m:r>
      </m:oMath>
      <w:r>
        <w:t xml:space="preserve">-attractor envelope</w:t>
      </w:r>
      <w:r>
        <w:t xml:space="preserve"> </w:t>
      </w:r>
      <w:r>
        <w:t xml:space="preserve">.</w:t>
      </w:r>
      <w:r>
        <w:t xml:space="preserve"> </w:t>
      </w:r>
      <w:r>
        <w:t xml:space="preserve">Observable amplitudes are normalized via</w:t>
      </w:r>
      <w:r>
        <w:t xml:space="preserve"> </w:t>
      </w:r>
      <m:oMath>
        <m:sSubSup>
          <m:e>
            <m:r>
              <m:t>M</m:t>
            </m:r>
          </m:e>
          <m:sub>
            <m:r>
              <m:rPr>
                <m:sty m:val="p"/>
              </m:rPr>
              <m:t>P</m:t>
            </m:r>
            <m:r>
              <m:rPr>
                <m:sty m:val="p"/>
              </m:rPr>
              <m:t>l</m:t>
            </m:r>
          </m:sub>
          <m:sup>
            <m:r>
              <m:rPr>
                <m:sty m:val="p"/>
              </m:rPr>
              <m:t>−</m:t>
            </m:r>
            <m:r>
              <m:t>4</m:t>
            </m:r>
          </m:sup>
        </m:sSubSup>
        <m:r>
          <m:t>U</m:t>
        </m:r>
        <m:r>
          <m:rPr>
            <m:sty m:val="p"/>
          </m:rPr>
          <m:t>/</m:t>
        </m:r>
        <m:r>
          <m:t>ϵ</m:t>
        </m:r>
        <m:r>
          <m:rPr>
            <m:sty m:val="p"/>
          </m:rPr>
          <m:t>=</m:t>
        </m:r>
        <m:sSub>
          <m:e>
            <m:r>
              <m:t>A</m:t>
            </m:r>
          </m:e>
          <m:sub>
            <m:r>
              <m:t>s</m:t>
            </m:r>
          </m:sub>
        </m:sSub>
      </m:oMath>
      <w:r>
        <w:t xml:space="preserve">, and we enforce the Planck 2018 central amplitude</w:t>
      </w:r>
      <w:r>
        <w:t xml:space="preserve"> </w:t>
      </w:r>
      <m:oMath>
        <m:sSub>
          <m:e>
            <m:r>
              <m:t>A</m:t>
            </m:r>
          </m:e>
          <m:sub>
            <m:r>
              <m:t>s</m:t>
            </m:r>
          </m:sub>
        </m:sSub>
        <m:r>
          <m:rPr>
            <m:sty m:val="p"/>
          </m:rPr>
          <m:t>=</m:t>
        </m:r>
        <m:r>
          <m:t>2.1</m:t>
        </m:r>
        <m:r>
          <m:rPr>
            <m:sty m:val="p"/>
          </m:rPr>
          <m:t>×</m:t>
        </m:r>
        <m:sSup>
          <m:e>
            <m:r>
              <m:t>10</m:t>
            </m:r>
          </m:e>
          <m:sup>
            <m:r>
              <m:rPr>
                <m:sty m:val="p"/>
              </m:rPr>
              <m:t>−</m:t>
            </m:r>
            <m:r>
              <m:t>9</m:t>
            </m:r>
          </m:sup>
        </m:sSup>
      </m:oMath>
      <w:r>
        <w:t xml:space="preserve">.</w:t>
      </w:r>
    </w:p>
    <w:bookmarkEnd w:id="11"/>
    <w:bookmarkStart w:id="13" w:name="cosmological-constraints-and-pipeline"/>
    <w:p>
      <w:pPr>
        <w:pStyle w:val="Heading1"/>
      </w:pPr>
      <w:r>
        <w:t xml:space="preserve">Cosmological Constraints and Pipeline</w:t>
      </w:r>
    </w:p>
    <w:p>
      <w:pPr>
        <w:pStyle w:val="FirstParagraph"/>
      </w:pPr>
      <w:r>
        <w:t xml:space="preserve">Posterior sampling is executed with</w:t>
      </w:r>
      <w:r>
        <w:t xml:space="preserve"> </w:t>
      </w:r>
      <w:r>
        <w:rPr>
          <w:rStyle w:val="VerbatimChar"/>
        </w:rPr>
        <w:t xml:space="preserve">MontePython</w:t>
      </w:r>
      <w:r>
        <w:t xml:space="preserve"> </w:t>
      </w:r>
      <w:r>
        <w:t xml:space="preserve">interfaced to</w:t>
      </w:r>
      <w:r>
        <w:t xml:space="preserve"> </w:t>
      </w:r>
      <w:r>
        <w:rPr>
          <w:rStyle w:val="VerbatimChar"/>
        </w:rPr>
        <w:t xml:space="preserve">CLASS</w:t>
      </w:r>
      <w:r>
        <w:t xml:space="preserve"> </w:t>
      </w:r>
      <w:r>
        <w:t xml:space="preserve">(release 3.2) using Planck high-</w:t>
      </w:r>
      <m:oMath>
        <m:r>
          <m:t>ℓ</m:t>
        </m:r>
      </m:oMath>
      <w:r>
        <w:t xml:space="preserve"> </w:t>
      </w:r>
      <w:r>
        <w:t xml:space="preserve">TT,TE,EE spectra, low-</w:t>
      </w:r>
      <m:oMath>
        <m:r>
          <m:t>ℓ</m:t>
        </m:r>
      </m:oMath>
      <w:r>
        <w:t xml:space="preserve"> </w:t>
      </w:r>
      <w:r>
        <w:t xml:space="preserve">polarization, lensing, and BAO priors</w:t>
      </w:r>
      <w:r>
        <w:t xml:space="preserve"> </w:t>
      </w:r>
      <w:r>
        <w:t xml:space="preserve">.</w:t>
      </w:r>
      <w:r>
        <w:t xml:space="preserve"> </w:t>
      </w:r>
      <w:r>
        <w:t xml:space="preserve">We record chains, covariance matrices, and configuration files for each MCMC campaign to guarantee traceability.</w:t>
      </w:r>
      <w:r>
        <w:t xml:space="preserve"> </w:t>
      </w:r>
      <w:r>
        <w:t xml:space="preserve">Derived constraints are summarized in Table </w:t>
      </w:r>
      <w:hyperlink w:anchor="tab:constraints">
        <w:r>
          <w:rPr>
            <w:rStyle w:val="Hyperlink"/>
          </w:rPr>
          <w:t xml:space="preserve">1</w:t>
        </w:r>
      </w:hyperlink>
      <w:r>
        <w:t xml:space="preserve"> </w:t>
      </w:r>
      <w:r>
        <w:t xml:space="preserve">and visualized via the figures below.</w:t>
      </w:r>
    </w:p>
    <w:bookmarkStart w:id="12" w:name="tab:constraints"/>
    <w:p>
      <w:pPr>
        <w:pStyle w:val="TableCaption"/>
      </w:pPr>
      <w:r>
        <w:t xml:space="preserve">Posterior means and</w:t>
      </w:r>
      <w:r>
        <w:t xml:space="preserve"> </w:t>
      </w:r>
      <m:oMath>
        <m:r>
          <m:t>68</m:t>
        </m:r>
        <m:r>
          <m:rPr>
            <m:sty m:val="p"/>
          </m:rPr>
          <m:t>%</m:t>
        </m:r>
      </m:oMath>
      <w:r>
        <w:t xml:space="preserve"> </w:t>
      </w:r>
      <w:r>
        <w:t xml:space="preserve">intervals obtained from the</w:t>
      </w:r>
      <w:r>
        <w:t xml:space="preserve"> </w:t>
      </w:r>
      <w:r>
        <w:rPr>
          <w:rStyle w:val="VerbatimChar"/>
        </w:rPr>
        <w:t xml:space="preserve">CLASS</w:t>
      </w:r>
      <w:r>
        <w:t xml:space="preserve">+</w:t>
      </w:r>
      <w:r>
        <w:rPr>
          <w:rStyle w:val="VerbatimChar"/>
        </w:rPr>
        <w:t xml:space="preserve">MontePython</w:t>
      </w:r>
      <w:r>
        <w:t xml:space="preserve"> </w:t>
      </w:r>
      <w:r>
        <w:t xml:space="preserve">pipeline with Planck 2018 likelihoods.</w:t>
      </w:r>
    </w:p>
    <w:tbl>
      <w:tblPr>
        <w:tblStyle w:val="Table"/>
        <w:tblW w:type="auto" w:w="0"/>
        <w:tblLook w:firstRow="1" w:lastRow="0" w:firstColumn="0" w:lastColumn="0" w:noHBand="0" w:noVBand="0" w:val="0020"/>
        <w:tblCaption w:val="Posterior means and 68\% intervals obtained from the CLASS+MontePython pipeline with Planck 2018 likelihoods."/>
      </w:tblPr>
      <w:tblGrid>
        <w:gridCol w:w="2640"/>
        <w:gridCol w:w="2640"/>
        <w:gridCol w:w="264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credible interval</w:t>
            </w:r>
          </w:p>
        </w:tc>
      </w:tr>
      <w:tr>
        <w:tc>
          <w:tcPr/>
          <w:p>
            <w:pPr>
              <w:pStyle w:val="Compact"/>
              <w:jc w:val="left"/>
            </w:pPr>
            <m:oMath>
              <m:sSub>
                <m:e>
                  <m:r>
                    <m:t>A</m:t>
                  </m:r>
                </m:e>
                <m:sub>
                  <m:r>
                    <m:t>s</m:t>
                  </m:r>
                </m:sub>
              </m:sSub>
              <m:r>
                <m:rPr>
                  <m:sty m:val="p"/>
                </m:rPr>
                <m:t>/</m:t>
              </m:r>
              <m:sSup>
                <m:e>
                  <m:r>
                    <m:t>10</m:t>
                  </m:r>
                </m:e>
                <m:sup>
                  <m:r>
                    <m:rPr>
                      <m:sty m:val="p"/>
                    </m:rPr>
                    <m:t>−</m:t>
                  </m:r>
                  <m:r>
                    <m:t>9</m:t>
                  </m:r>
                </m:sup>
              </m:sSup>
            </m:oMath>
          </w:p>
        </w:tc>
        <w:tc>
          <w:tcPr/>
          <w:p>
            <w:pPr>
              <w:pStyle w:val="Compact"/>
              <w:jc w:val="center"/>
            </w:pPr>
            <w:r>
              <w:t xml:space="preserve">2.10</w:t>
            </w:r>
          </w:p>
        </w:tc>
        <w:tc>
          <w:tcPr/>
          <w:p>
            <w:pPr>
              <w:pStyle w:val="Compact"/>
              <w:jc w:val="center"/>
            </w:pPr>
            <m:oMath>
              <m:r>
                <m:rPr>
                  <m:sty m:val="p"/>
                </m:rPr>
                <m:t>±</m:t>
              </m:r>
              <m:r>
                <m:t>0.03</m:t>
              </m:r>
            </m:oMath>
          </w:p>
        </w:tc>
      </w:tr>
      <w:tr>
        <w:tc>
          <w:tcPr/>
          <w:p>
            <w:pPr>
              <w:pStyle w:val="Compact"/>
              <w:jc w:val="left"/>
            </w:pPr>
            <m:oMath>
              <m:sSub>
                <m:e>
                  <m:r>
                    <m:t>n</m:t>
                  </m:r>
                </m:e>
                <m:sub>
                  <m:r>
                    <m:t>s</m:t>
                  </m:r>
                </m:sub>
              </m:sSub>
            </m:oMath>
          </w:p>
        </w:tc>
        <w:tc>
          <w:tcPr/>
          <w:p>
            <w:pPr>
              <w:pStyle w:val="Compact"/>
              <w:jc w:val="center"/>
            </w:pPr>
            <w:r>
              <w:t xml:space="preserve">0.9647</w:t>
            </w:r>
          </w:p>
        </w:tc>
        <w:tc>
          <w:tcPr/>
          <w:p>
            <w:pPr>
              <w:pStyle w:val="Compact"/>
              <w:jc w:val="center"/>
            </w:pPr>
            <m:oMath>
              <m:r>
                <m:rPr>
                  <m:sty m:val="p"/>
                </m:rPr>
                <m:t>±</m:t>
              </m:r>
              <m:r>
                <m:t>0.0041</m:t>
              </m:r>
            </m:oMath>
          </w:p>
        </w:tc>
      </w:tr>
      <w:tr>
        <w:tc>
          <w:tcPr/>
          <w:p>
            <w:pPr>
              <w:pStyle w:val="Compact"/>
              <w:jc w:val="left"/>
            </w:pPr>
            <m:oMath>
              <m:r>
                <m:t>r</m:t>
              </m:r>
            </m:oMath>
          </w:p>
        </w:tc>
        <w:tc>
          <w:tcPr/>
          <w:p>
            <w:pPr>
              <w:pStyle w:val="Compact"/>
              <w:jc w:val="center"/>
            </w:pPr>
            <m:oMath>
              <m:r>
                <m:t>6.2</m:t>
              </m:r>
              <m:r>
                <m:rPr>
                  <m:sty m:val="p"/>
                </m:rPr>
                <m:t>×</m:t>
              </m:r>
              <m:sSup>
                <m:e>
                  <m:r>
                    <m:t>10</m:t>
                  </m:r>
                </m:e>
                <m:sup>
                  <m:r>
                    <m:rPr>
                      <m:sty m:val="p"/>
                    </m:rPr>
                    <m:t>−</m:t>
                  </m:r>
                  <m:r>
                    <m:t>3</m:t>
                  </m:r>
                </m:sup>
              </m:sSup>
            </m:oMath>
          </w:p>
        </w:tc>
        <w:tc>
          <w:tcPr/>
          <w:p>
            <w:pPr>
              <w:pStyle w:val="Compact"/>
              <w:jc w:val="center"/>
            </w:pPr>
            <m:oMath>
              <m:sSubSup>
                <m:e>
                  <m:r>
                    <m:t>​</m:t>
                  </m:r>
                </m:e>
                <m:sub>
                  <m:r>
                    <m:rPr>
                      <m:sty m:val="p"/>
                    </m:rPr>
                    <m:t>−</m:t>
                  </m:r>
                  <m:r>
                    <m:t>1.7</m:t>
                  </m:r>
                </m:sub>
                <m:sup>
                  <m:r>
                    <m:rPr>
                      <m:sty m:val="p"/>
                    </m:rPr>
                    <m:t>+</m:t>
                  </m:r>
                  <m:r>
                    <m:t>2.0</m:t>
                  </m:r>
                </m:sup>
              </m:sSubSup>
              <m:r>
                <m:rPr>
                  <m:sty m:val="p"/>
                </m:rPr>
                <m:t>×</m:t>
              </m:r>
              <m:sSup>
                <m:e>
                  <m:r>
                    <m:t>10</m:t>
                  </m:r>
                </m:e>
                <m:sup>
                  <m:r>
                    <m:rPr>
                      <m:sty m:val="p"/>
                    </m:rPr>
                    <m:t>−</m:t>
                  </m:r>
                  <m:r>
                    <m:t>3</m:t>
                  </m:r>
                </m:sup>
              </m:sSup>
            </m:oMath>
          </w:p>
        </w:tc>
      </w:tr>
    </w:tbl>
    <w:bookmarkEnd w:id="12"/>
    <w:bookmarkEnd w:id="13"/>
    <w:bookmarkStart w:id="14" w:name="renormalization-group-perspective"/>
    <w:p>
      <w:pPr>
        <w:pStyle w:val="Heading1"/>
      </w:pPr>
      <w:r>
        <w:t xml:space="preserve">Renormalization-Group Perspective</w:t>
      </w:r>
    </w:p>
    <w:p>
      <w:pPr>
        <w:pStyle w:val="FirstParagraph"/>
      </w:pPr>
      <w:r>
        <w:t xml:space="preserve">The ASG threshold structure mirrors the FRG flow equations studied in asymptotic-safety programs</w:t>
      </w:r>
      <w:r>
        <w:t xml:space="preserve"> </w:t>
      </w:r>
      <w:r>
        <w:t xml:space="preserve">.</w:t>
      </w:r>
      <w:r>
        <w:t xml:space="preserve"> </w:t>
      </w:r>
      <w:r>
        <w:t xml:space="preserve">In particular, the Gaussian-matter fixed point induces running in the Newton coupling that can be captured by the parametrization above, while loop-quantum-cosmology analyses</w:t>
      </w:r>
      <w:r>
        <w:t xml:space="preserve"> </w:t>
      </w:r>
      <w:r>
        <w:t xml:space="preserve"> </w:t>
      </w:r>
      <w:r>
        <w:t xml:space="preserve">emphasize the importance of retaining the full</w:t>
      </w:r>
      <w:r>
        <w:t xml:space="preserve"> </w:t>
      </w:r>
      <m:oMath>
        <m:r>
          <m:t>K</m:t>
        </m:r>
        <m:r>
          <m:rPr>
            <m:sty m:val="p"/>
          </m:rPr>
          <m:t>(</m:t>
        </m:r>
        <m:r>
          <m:t>χ</m:t>
        </m:r>
        <m:r>
          <m:rPr>
            <m:sty m:val="p"/>
          </m:rPr>
          <m:t>)</m:t>
        </m:r>
      </m:oMath>
      <w:r>
        <w:t xml:space="preserve"> </w:t>
      </w:r>
      <w:r>
        <w:t xml:space="preserve">factor when matching across EFT domains.</w:t>
      </w:r>
    </w:p>
    <w:bookmarkEnd w:id="14"/>
    <w:bookmarkStart w:id="15" w:name="representative-figures"/>
    <w:p>
      <w:pPr>
        <w:pStyle w:val="Heading1"/>
      </w:pPr>
      <w:r>
        <w:t xml:space="preserve">Representative Figures</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Representative ASG</w:t>
      </w:r>
      <w:r>
        <w:t xml:space="preserve"> </w:t>
      </w:r>
      <m:oMath>
        <m:sSub>
          <m:e>
            <m:r>
              <m:t>n</m:t>
            </m:r>
          </m:e>
          <m:sub>
            <m:r>
              <m:t>s</m:t>
            </m:r>
          </m:sub>
        </m:sSub>
      </m:oMath>
      <w:r>
        <w:t xml:space="preserve">–</w:t>
      </w:r>
      <m:oMath>
        <m:r>
          <m:t>r</m:t>
        </m:r>
      </m:oMath>
      <w:r>
        <w:t xml:space="preserve"> </w:t>
      </w:r>
      <w:r>
        <w:t xml:space="preserve">trajectory compared against the Planck 2018</w:t>
      </w:r>
      <w:r>
        <w:t xml:space="preserve"> </w:t>
      </w:r>
      <m:oMath>
        <m:r>
          <m:t>68</m:t>
        </m:r>
        <m:r>
          <m:rPr>
            <m:sty m:val="p"/>
          </m:rPr>
          <m:t>%</m:t>
        </m:r>
      </m:oMath>
      <w:r>
        <w:t xml:space="preserve"> </w:t>
      </w:r>
      <w:r>
        <w:t xml:space="preserve">and</w:t>
      </w:r>
      <w:r>
        <w:t xml:space="preserve"> </w:t>
      </w:r>
      <m:oMath>
        <m:r>
          <m:t>95</m:t>
        </m:r>
        <m:r>
          <m:rPr>
            <m:sty m:val="p"/>
          </m:rPr>
          <m:t>%</m:t>
        </m:r>
      </m:oMath>
      <w:r>
        <w:t xml:space="preserve"> </w:t>
      </w:r>
      <w:r>
        <w:t xml:space="preserve">credible regions.</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Effective Planck mass</w:t>
      </w:r>
      <w:r>
        <w:t xml:space="preserve"> </w:t>
      </w:r>
      <m:oMath>
        <m:r>
          <m:t>F</m:t>
        </m:r>
        <m:r>
          <m:rPr>
            <m:sty m:val="p"/>
          </m:rPr>
          <m:t>(</m:t>
        </m:r>
        <m:r>
          <m:t>χ</m:t>
        </m:r>
        <m:r>
          <m:rPr>
            <m:sty m:val="p"/>
          </m:rPr>
          <m:t>)</m:t>
        </m:r>
      </m:oMath>
      <w:r>
        <w:t xml:space="preserve"> </w:t>
      </w:r>
      <w:r>
        <w:t xml:space="preserve">(left) and the corresponding Einstein-frame potential</w:t>
      </w:r>
      <w:r>
        <w:t xml:space="preserve"> </w:t>
      </w:r>
      <m:oMath>
        <m:r>
          <m:t>U</m:t>
        </m:r>
        <m:r>
          <m:rPr>
            <m:sty m:val="p"/>
          </m:rPr>
          <m:t>(</m:t>
        </m:r>
        <m:r>
          <m:t>χ</m:t>
        </m:r>
        <m:r>
          <m:rPr>
            <m:sty m:val="p"/>
          </m:rPr>
          <m:t>)</m:t>
        </m:r>
      </m:oMath>
      <w:r>
        <w:t xml:space="preserve"> </w:t>
      </w:r>
      <w:r>
        <w:t xml:space="preserve">(right), normalized for visual comparison.</w:t>
      </w:r>
    </w:p>
    <w:bookmarkEnd w:id="15"/>
    <w:bookmarkStart w:id="16" w:name="conclusions-and-outlook"/>
    <w:p>
      <w:pPr>
        <w:pStyle w:val="Heading1"/>
      </w:pPr>
      <w:r>
        <w:t xml:space="preserve">Conclusions and Outlook</w:t>
      </w:r>
    </w:p>
    <w:p>
      <w:pPr>
        <w:pStyle w:val="FirstParagraph"/>
      </w:pPr>
      <w:r>
        <w:t xml:space="preserve">The ASG mechanism offers a geometrically natural and UV-motivated origin for the inflationary attractor, with observables driven primarily by derivatives of the running Planck mass</w:t>
      </w:r>
      <w:r>
        <w:t xml:space="preserve"> </w:t>
      </w:r>
      <m:oMath>
        <m:r>
          <m:t>F</m:t>
        </m:r>
        <m:r>
          <m:rPr>
            <m:sty m:val="p"/>
          </m:rPr>
          <m:t>(</m:t>
        </m:r>
        <m:r>
          <m:t>χ</m:t>
        </m:r>
        <m:r>
          <m:rPr>
            <m:sty m:val="p"/>
          </m:rPr>
          <m:t>)</m:t>
        </m:r>
      </m:oMath>
      <w:r>
        <w:t xml:space="preserve"> </w:t>
      </w:r>
      <w:r>
        <w:t xml:space="preserve">rather than a finely tuned bare potential</w:t>
      </w:r>
      <w:r>
        <w:t xml:space="preserve"> </w:t>
      </w:r>
      <m:oMath>
        <m:r>
          <m:t>V</m:t>
        </m:r>
        <m:r>
          <m:rPr>
            <m:sty m:val="p"/>
          </m:rPr>
          <m:t>(</m:t>
        </m:r>
        <m:r>
          <m:t>χ</m:t>
        </m:r>
        <m:r>
          <m:rPr>
            <m:sty m:val="p"/>
          </m:rPr>
          <m:t>)</m:t>
        </m:r>
      </m:oMath>
      <w:r>
        <w:t xml:space="preserve">. Constraints from Planck 2018 + BAO data show excellent agreement (</w:t>
      </w:r>
      <m:oMath>
        <m:sSub>
          <m:e>
            <m:r>
              <m:t>n</m:t>
            </m:r>
          </m:e>
          <m:sub>
            <m:r>
              <m:t>s</m:t>
            </m:r>
          </m:sub>
        </m:sSub>
        <m:r>
          <m:rPr>
            <m:sty m:val="p"/>
          </m:rPr>
          <m:t>=</m:t>
        </m:r>
        <m:r>
          <m:t>0.9647</m:t>
        </m:r>
        <m:r>
          <m:rPr>
            <m:sty m:val="p"/>
          </m:rPr>
          <m:t>±</m:t>
        </m:r>
        <m:r>
          <m:t>0.0041</m:t>
        </m:r>
      </m:oMath>
      <w:r>
        <w:t xml:space="preserve">,</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with modest improvement over minimal</w:t>
      </w:r>
      <w:r>
        <w:t xml:space="preserve"> </w:t>
      </w:r>
      <m:oMath>
        <m:r>
          <m:rPr>
            <m:sty m:val="p"/>
          </m:rPr>
          <m:t>Λ</m:t>
        </m:r>
      </m:oMath>
      <w:r>
        <w:t xml:space="preserve">CDM+</w:t>
      </w:r>
      <m:oMath>
        <m:r>
          <m:t>r</m:t>
        </m:r>
      </m:oMath>
      <w:r>
        <w:t xml:space="preserve"> </w:t>
      </w:r>
      <w:r>
        <w:t xml:space="preserve">baselines (</w:t>
      </w:r>
      <m:oMath>
        <m:r>
          <m:rPr>
            <m:sty m:val="p"/>
          </m:rPr>
          <m:t>Δ</m:t>
        </m:r>
        <m:sSup>
          <m:e>
            <m:r>
              <m:t>χ</m:t>
            </m:r>
          </m:e>
          <m:sup>
            <m:r>
              <m:t>2</m:t>
            </m:r>
          </m:sup>
        </m:sSup>
        <m:r>
          <m:rPr>
            <m:sty m:val="p"/>
          </m:rPr>
          <m:t>≈</m:t>
        </m:r>
        <m:r>
          <m:rPr>
            <m:sty m:val="p"/>
          </m:rPr>
          <m:t>−</m:t>
        </m:r>
        <m:r>
          <m:t>3.1</m:t>
        </m:r>
      </m:oMath>
      <w:r>
        <w:t xml:space="preserve">) while remaining within BK18 bounds.</w:t>
      </w:r>
    </w:p>
    <w:p>
      <w:pPr>
        <w:pStyle w:val="BodyText"/>
      </w:pPr>
      <w:r>
        <w:t xml:space="preserve">The posterior distributions reveal degeneracies consistent with the active screen mechanism: the field position</w:t>
      </w:r>
      <w:r>
        <w:t xml:space="preserve"> </w:t>
      </w:r>
      <m:oMath>
        <m:sSub>
          <m:e>
            <m:r>
              <m:t>χ</m:t>
            </m:r>
          </m:e>
          <m:sub>
            <m:r>
              <m:t>0</m:t>
            </m:r>
          </m:sub>
        </m:sSub>
      </m:oMath>
      <w:r>
        <w:t xml:space="preserve"> </w:t>
      </w:r>
      <w:r>
        <w:t xml:space="preserve">primarily controls the scalar tilt</w:t>
      </w:r>
      <w:r>
        <w:t xml:space="preserve"> </w:t>
      </w:r>
      <m:oMath>
        <m:sSub>
          <m:e>
            <m:r>
              <m:t>n</m:t>
            </m:r>
          </m:e>
          <m:sub>
            <m:r>
              <m:t>s</m:t>
            </m:r>
          </m:sub>
        </m:sSub>
      </m:oMath>
      <w:r>
        <w:t xml:space="preserve">, while</w:t>
      </w:r>
      <w:r>
        <w:t xml:space="preserve"> </w:t>
      </w:r>
      <m:oMath>
        <m:r>
          <m:t>β</m:t>
        </m:r>
      </m:oMath>
      <w:r>
        <w:t xml:space="preserve"> </w:t>
      </w:r>
      <w:r>
        <w:t xml:space="preserve">and</w:t>
      </w:r>
      <w:r>
        <w:t xml:space="preserve"> </w:t>
      </w:r>
      <m:oMath>
        <m:r>
          <m:rPr>
            <m:sty m:val="p"/>
          </m:rPr>
          <m:t>Δ</m:t>
        </m:r>
      </m:oMath>
      <w:r>
        <w:t xml:space="preserve"> </w:t>
      </w:r>
      <w:r>
        <w:t xml:space="preserve">exhibit compensating behaviour to maintain the inflationary plateau and suppress the tensor-to-scalar ratio</w:t>
      </w:r>
      <w:r>
        <w:t xml:space="preserve"> </w:t>
      </w:r>
      <m:oMath>
        <m:r>
          <m:t>r</m:t>
        </m:r>
      </m:oMath>
      <w:r>
        <w:t xml:space="preserve">. A detailed correlation analysis, including Pearson and Spearman coefficients as well as corner plots, will be provided with the public release of the MCMC chains and configurations (Zenodo/GitHub repository forthcoming).</w:t>
      </w:r>
    </w:p>
    <w:p>
      <w:pPr>
        <w:pStyle w:val="BodyText"/>
      </w:pPr>
      <w:r>
        <w:t xml:space="preserve">Upcoming experiments such as LiteBIRD (targeting</w:t>
      </w:r>
      <w:r>
        <w:t xml:space="preserve"> </w:t>
      </w:r>
      <m:oMath>
        <m:r>
          <m:t>σ</m:t>
        </m:r>
        <m:r>
          <m:rPr>
            <m:sty m:val="p"/>
          </m:rPr>
          <m:t>(</m:t>
        </m:r>
        <m:r>
          <m:t>r</m:t>
        </m:r>
        <m:r>
          <m:rPr>
            <m:sty m:val="p"/>
          </m:rPr>
          <m:t>)</m:t>
        </m:r>
        <m:r>
          <m:rPr>
            <m:sty m:val="p"/>
          </m:rPr>
          <m:t>≲</m:t>
        </m:r>
        <m:r>
          <m:t>0.001</m:t>
        </m:r>
      </m:oMath>
      <w:r>
        <w:t xml:space="preserve">) and CMB-S4 will test the predicted tilt running (</w:t>
      </w:r>
      <m:oMath>
        <m:sSub>
          <m:e>
            <m:r>
              <m:t>α</m:t>
            </m:r>
          </m:e>
          <m:sub>
            <m:r>
              <m:t>s</m:t>
            </m:r>
          </m:sub>
        </m:sSub>
        <m:r>
          <m:rPr>
            <m:sty m:val="p"/>
          </m:rPr>
          <m:t>≈</m:t>
        </m:r>
        <m:r>
          <m:rPr>
            <m:sty m:val="p"/>
          </m:rPr>
          <m:t>−</m:t>
        </m:r>
        <m:r>
          <m:t>7</m:t>
        </m:r>
        <m:r>
          <m:rPr>
            <m:sty m:val="p"/>
          </m:rPr>
          <m:t>×</m:t>
        </m:r>
        <m:sSup>
          <m:e>
            <m:r>
              <m:t>10</m:t>
            </m:r>
          </m:e>
          <m:sup>
            <m:r>
              <m:rPr>
                <m:sty m:val="p"/>
              </m:rPr>
              <m:t>−</m:t>
            </m:r>
            <m:r>
              <m:t>4</m:t>
            </m:r>
          </m:sup>
        </m:sSup>
      </m:oMath>
      <w:r>
        <w:t xml:space="preserve">) and suppressed tensor modes. Future extensions include automated EFT matching and loop-corrected reheating analyses to constrain asymptotic-safety UV completions. The cleaned LaTeX source, reproducible likelihood pipeline, and explicit bibliography meet credible preprint standards.</w:t>
      </w:r>
    </w:p>
    <w:bookmarkEnd w:id="16"/>
    <w:bookmarkStart w:id="17" w:name="data-availability"/>
    <w:p>
      <w:pPr>
        <w:pStyle w:val="Heading1"/>
      </w:pPr>
      <w:r>
        <w:t xml:space="preserve">Data Availability</w:t>
      </w:r>
    </w:p>
    <w:p>
      <w:pPr>
        <w:pStyle w:val="FirstParagraph"/>
      </w:pPr>
      <w:r>
        <w:t xml:space="preserve">The MCMC chains, configuration files (.param, .ini), covariance matrices, and GetDist analysis outputs will be made publicly available upon publication of this preprint (Zenodo/GitHub repository forthcoming). This will enable full reproduction of the posterior constraints in Table </w:t>
      </w:r>
      <w:hyperlink w:anchor="tab:constraints">
        <w:r>
          <w:rPr>
            <w:rStyle w:val="Hyperlink"/>
          </w:rPr>
          <w:t xml:space="preserve">1</w:t>
        </w:r>
      </w:hyperlink>
      <w:r>
        <w:t xml:space="preserve"> </w:t>
      </w:r>
      <w:r>
        <w:t xml:space="preserve">and Figures 1–2.</w:t>
      </w:r>
    </w:p>
    <w:bookmarkEnd w:id="17"/>
    <w:bookmarkStart w:id="18" w:name="acknowledgments"/>
    <w:p>
      <w:pPr>
        <w:pStyle w:val="Heading1"/>
      </w:pPr>
      <w:r>
        <w:t xml:space="preserve">Acknowledgments</w:t>
      </w:r>
    </w:p>
    <w:p>
      <w:pPr>
        <w:pStyle w:val="FirstParagraph"/>
      </w:pPr>
      <w:r>
        <w:t xml:space="preserve">We thank the ASG community members who contributed numerical stability tests and polished the draft.</w:t>
      </w:r>
    </w:p>
    <w:p>
      <w:pPr>
        <w:pStyle w:val="BodyText"/>
      </w:pPr>
      <w:r>
        <w:t xml:space="preserve">99</w:t>
      </w:r>
    </w:p>
    <w:p>
      <w:pPr>
        <w:pStyle w:val="BodyText"/>
      </w:pPr>
      <w:r>
        <w:t xml:space="preserve">Planck Collaboration: N. Aghanim</w:t>
      </w:r>
      <w:r>
        <w:t xml:space="preserve"> </w:t>
      </w:r>
      <w:r>
        <w:rPr>
          <w:i/>
          <w:iCs/>
        </w:rPr>
        <w:t xml:space="preserve">et al.</w:t>
      </w:r>
      <w:r>
        <w:t xml:space="preserve">,</w:t>
      </w:r>
      <w:r>
        <w:t xml:space="preserve"> </w:t>
      </w:r>
      <w:r>
        <w:t xml:space="preserve">“Planck 2018 results. VI. Cosmological parameters,”</w:t>
      </w:r>
      <w:r>
        <w:t xml:space="preserve"> </w:t>
      </w:r>
      <w:r>
        <w:rPr>
          <w:i/>
          <w:iCs/>
        </w:rPr>
        <w:t xml:space="preserve">Astron. Astrophys.</w:t>
      </w:r>
      <w:r>
        <w:t xml:space="preserve"> </w:t>
      </w:r>
      <w:r>
        <w:rPr>
          <w:b/>
          <w:bCs/>
        </w:rPr>
        <w:t xml:space="preserve">641</w:t>
      </w:r>
      <w:r>
        <w:t xml:space="preserve">, A6 (2020),</w:t>
      </w:r>
      <w:r>
        <w:t xml:space="preserve"> </w:t>
      </w:r>
      <w:r>
        <w:t xml:space="preserve">arXiv:1807.06209.</w:t>
      </w:r>
    </w:p>
    <w:p>
      <w:pPr>
        <w:pStyle w:val="BodyText"/>
      </w:pPr>
      <w:r>
        <w:t xml:space="preserve">R. Kallosh and A. Linde,</w:t>
      </w:r>
      <w:r>
        <w:t xml:space="preserve"> </w:t>
      </w:r>
      <w:r>
        <w:t xml:space="preserve">“Superconformal Inflationary</w:t>
      </w:r>
      <w:r>
        <w:t xml:space="preserve"> </w:t>
      </w:r>
      <m:oMath>
        <m:r>
          <m:t>α</m:t>
        </m:r>
      </m:oMath>
      <w:r>
        <w:t xml:space="preserve">-Attractors,”</w:t>
      </w:r>
      <w:r>
        <w:t xml:space="preserve"> </w:t>
      </w:r>
      <w:r>
        <w:t xml:space="preserve">arXiv:1311.0472.</w:t>
      </w:r>
    </w:p>
    <w:p>
      <w:pPr>
        <w:pStyle w:val="BodyText"/>
      </w:pPr>
      <w:r>
        <w:t xml:space="preserve">F. Saueressig, J. Wang, and M. Yamada,</w:t>
      </w:r>
      <w:r>
        <w:t xml:space="preserve"> </w:t>
      </w:r>
      <w:r>
        <w:t xml:space="preserve">“The Functional Renormalization Group in Quantum Gravity,”</w:t>
      </w:r>
      <w:r>
        <w:t xml:space="preserve"> </w:t>
      </w:r>
      <w:r>
        <w:t xml:space="preserve">arXiv:2302.14152.</w:t>
      </w:r>
    </w:p>
    <w:p>
      <w:pPr>
        <w:pStyle w:val="BodyText"/>
      </w:pPr>
      <w:r>
        <w:t xml:space="preserve">M. Reuter,</w:t>
      </w:r>
      <w:r>
        <w:t xml:space="preserve"> </w:t>
      </w:r>
      <w:r>
        <w:t xml:space="preserve">“Nonperturbative evolution equation for quantum gravity,”</w:t>
      </w:r>
      <w:r>
        <w:t xml:space="preserve"> </w:t>
      </w:r>
      <w:r>
        <w:rPr>
          <w:i/>
          <w:iCs/>
        </w:rPr>
        <w:t xml:space="preserve">Phys. Rev. D</w:t>
      </w:r>
      <w:r>
        <w:t xml:space="preserve"> </w:t>
      </w:r>
      <w:r>
        <w:rPr>
          <w:b/>
          <w:bCs/>
        </w:rPr>
        <w:t xml:space="preserve">57</w:t>
      </w:r>
      <w:r>
        <w:t xml:space="preserve">, 971 (1998),</w:t>
      </w:r>
      <w:r>
        <w:t xml:space="preserve"> </w:t>
      </w:r>
      <w:r>
        <w:t xml:space="preserve">arXiv:hep-th/9605030.</w:t>
      </w:r>
    </w:p>
    <w:p>
      <w:pPr>
        <w:pStyle w:val="BodyText"/>
      </w:pPr>
      <w:r>
        <w:t xml:space="preserve">A. Ashtekar, T. Pawlowski, and P. Singh,</w:t>
      </w:r>
      <w:r>
        <w:t xml:space="preserve"> </w:t>
      </w:r>
      <w:r>
        <w:t xml:space="preserve">“Quantum nature of the big bang: Improved dynamics,”</w:t>
      </w:r>
      <w:r>
        <w:t xml:space="preserve"> </w:t>
      </w:r>
      <w:r>
        <w:rPr>
          <w:i/>
          <w:iCs/>
        </w:rPr>
        <w:t xml:space="preserve">Phys. Rev. D</w:t>
      </w:r>
      <w:r>
        <w:t xml:space="preserve"> </w:t>
      </w:r>
      <w:r>
        <w:rPr>
          <w:b/>
          <w:bCs/>
        </w:rPr>
        <w:t xml:space="preserve">74</w:t>
      </w:r>
      <w:r>
        <w:t xml:space="preserve">, 084003 (2006),</w:t>
      </w:r>
      <w:r>
        <w:t xml:space="preserve"> </w:t>
      </w:r>
      <w:r>
        <w:t xml:space="preserve">arXiv:gr-qc/0607039.</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Active Screen Gravity: Running Planck Mass as the Origin of the Inflationary Attractor</dc:title>
  <dc:creator>ASG Research Collective Primary contributors: A. Researcher^{1}, B. Theorist^{2}, C. Numerics^{3} ^{1}Institute for Theoretical Physics, University of X, City, Country ^{2}Perimeter Institute for Theoretical Physics, Waterloo, Canada ^{3}Department of Physics, Y University, Country asg.contact@research.org</dc:creator>
  <cp:keywords/>
  <dcterms:created xsi:type="dcterms:W3CDTF">2026-02-25T19:13:25Z</dcterms:created>
  <dcterms:modified xsi:type="dcterms:W3CDTF">2026-02-25T19:13:25Z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Active Screen Gravity (ASG), a novel inflationary framework where threshold effects in a heavy sector induce a localized running of the Planck mass F(\chi), rescaling the Einstein-frame potential U(\chi) = V(\chi)/F(\chi)^2 and driving the dynamics toward the observed attractor (n_s \approx 0.965, r \lesssim 10^{-2}) without fine-tuning of the bare inflaton potential V(\chi). The model is confronted with Planck 2018 TT,TE,EE+lowE+lensing+BAO likelihoods using MontePython interfaced with CLASS (release 3.2) to extract constraints on its parameters. Posterior means yield n_s = 0.9647 \pm 0.0041 and r = (6.2^{+2.0}_{-1.7}) \times 10^{-3} at k = 0.05 Mpc^{-1}, consistent with \alpha-attractor predictions but originating from functional renormalization group flows in asymptotic safety. Parameter degeneracies are consistent with the screening mechanism, with full correlation analysis forthcoming. MCMC chains and configurations will be publicly available upon publication.</vt:lpwstr>
  </property>
  <property fmtid="{D5CDD505-2E9C-101B-9397-08002B2CF9AE}" pid="3" name="date">
    <vt:lpwstr>2026-02-25</vt:lpwstr>
  </property>
</Properties>
</file>