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Active Screen Gravity: Running Planck Mass as the Origin of the Inflationary Attractor</w:t>
      </w:r>
    </w:p>
    <w:p>
      <w:pPr>
        <w:pStyle w:val="Author"/>
      </w:pPr>
      <w:r>
        <w:t xml:space="preserve">ASG Research Collective</w:t>
      </w:r>
      <w:r>
        <w:br/>
      </w:r>
      <w:r>
        <w:t xml:space="preserve">Primary contributors: A. Researcher</w:t>
      </w:r>
      <m:oMath>
        <m:sSup>
          <m:e>
            <m:r>
              <m:t>​</m:t>
            </m:r>
          </m:e>
          <m:sup>
            <m:r>
              <m:t>1</m:t>
            </m:r>
          </m:sup>
        </m:sSup>
      </m:oMath>
      <w:r>
        <w:t xml:space="preserve">, B. Theorist</w:t>
      </w:r>
      <m:oMath>
        <m:sSup>
          <m:e>
            <m:r>
              <m:t>​</m:t>
            </m:r>
          </m:e>
          <m:sup>
            <m:r>
              <m:t>2</m:t>
            </m:r>
          </m:sup>
        </m:sSup>
      </m:oMath>
      <w:r>
        <w:t xml:space="preserve">, C. Numerics</w:t>
      </w:r>
      <m:oMath>
        <m:sSup>
          <m:e>
            <m:r>
              <m:t>​</m:t>
            </m:r>
          </m:e>
          <m:sup>
            <m:r>
              <m:t>3</m:t>
            </m:r>
          </m:sup>
        </m:sSup>
      </m:oMath>
      <w:r>
        <w:br/>
      </w:r>
      <m:oMath>
        <m:sSup>
          <m:e>
            <m:r>
              <m:t>​</m:t>
            </m:r>
          </m:e>
          <m:sup>
            <m:r>
              <m:t>1</m:t>
            </m:r>
          </m:sup>
        </m:sSup>
      </m:oMath>
      <w:r>
        <w:t xml:space="preserve">Institute for Theoretical Physics, University of X, City, Country</w:t>
      </w:r>
      <w:r>
        <w:br/>
      </w:r>
      <m:oMath>
        <m:sSup>
          <m:e>
            <m:r>
              <m:t>​</m:t>
            </m:r>
          </m:e>
          <m:sup>
            <m:r>
              <m:t>2</m:t>
            </m:r>
          </m:sup>
        </m:sSup>
      </m:oMath>
      <w:r>
        <w:t xml:space="preserve">Perimeter Institute for Theoretical Physics, Waterloo, Canada</w:t>
      </w:r>
      <w:r>
        <w:br/>
      </w:r>
      <m:oMath>
        <m:sSup>
          <m:e>
            <m:r>
              <m:t>​</m:t>
            </m:r>
          </m:e>
          <m:sup>
            <m:r>
              <m:t>3</m:t>
            </m:r>
          </m:sup>
        </m:sSup>
      </m:oMath>
      <w:r>
        <w:t xml:space="preserve">Department of Physics, Y University, Country</w:t>
      </w:r>
      <w:r>
        <w:br/>
      </w:r>
      <w:r>
        <w:rPr>
          <w:rStyle w:val="VerbatimChar"/>
        </w:rPr>
        <w:t xml:space="preserve">asg.contact@research.org</w:t>
      </w:r>
    </w:p>
    <w:p>
      <w:pPr>
        <w:pStyle w:val="Date"/>
      </w:pPr>
      <w:r>
        <w:t xml:space="preserve">2026-02-26</w:t>
      </w:r>
    </w:p>
    <w:p>
      <w:pPr>
        <w:pStyle w:val="AbstractTitle"/>
      </w:pPr>
      <w:r>
        <w:t xml:space="preserve">Abstract</w:t>
      </w:r>
    </w:p>
    <w:p>
      <w:pPr>
        <w:pStyle w:val="Abstract"/>
      </w:pPr>
      <w:r>
        <w:t xml:space="preserve">We investigate an inflationary mechanism in which the attractor behaviour arises from a field-dependent Planck mass rather than from a specially tuned scalar potential. A heavy threshold sector induces a running gravitational coupling</w:t>
      </w:r>
      <w:r>
        <w:t xml:space="preserve"> </w:t>
      </w:r>
      <m:oMath>
        <m:r>
          <m:t>F</m:t>
        </m:r>
        <m:r>
          <m:rPr>
            <m:sty m:val="p"/>
          </m:rPr>
          <m:t>(</m:t>
        </m:r>
        <m:r>
          <m:t>χ</m:t>
        </m:r>
        <m:r>
          <m:rPr>
            <m:sty m:val="p"/>
          </m:rPr>
          <m:t>)</m:t>
        </m:r>
      </m:oMath>
      <w:r>
        <w:t xml:space="preserve">, so that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dynamically develops a plateau through gravitational screening. Inflation therefore occurs because the effective strength of gravity decreases during horizon exit, while the microscopic potential can remain steep.</w:t>
      </w:r>
      <w:r>
        <w:t xml:space="preserve"> </w:t>
      </w:r>
      <w:r>
        <w:t xml:space="preserve">When derivatives of</w:t>
      </w:r>
      <w:r>
        <w:t xml:space="preserve"> </w:t>
      </w:r>
      <m:oMath>
        <m:r>
          <m:t>F</m:t>
        </m:r>
        <m:r>
          <m:rPr>
            <m:sty m:val="p"/>
          </m:rPr>
          <m:t>(</m:t>
        </m:r>
        <m:r>
          <m:t>χ</m:t>
        </m:r>
        <m:r>
          <m:rPr>
            <m:sty m:val="p"/>
          </m:rPr>
          <m:t>)</m:t>
        </m:r>
      </m:oMath>
      <w:r>
        <w:t xml:space="preserve"> </w:t>
      </w:r>
      <w:r>
        <w:t xml:space="preserve">dominate the field-space metric, the theory approaches the universal pole structure of single-field attractor inflation. In this regime the slow-roll parameters are controlled primarily by</w:t>
      </w:r>
      <w:r>
        <w:t xml:space="preserve"> </w:t>
      </w:r>
      <m:oMath>
        <m:sSub>
          <m:e>
            <m:r>
              <m:rPr>
                <m:sty m:val="p"/>
              </m:rPr>
              <m:t>∂</m:t>
            </m:r>
          </m:e>
          <m:sub>
            <m:r>
              <m:t>χ</m:t>
            </m:r>
          </m:sub>
        </m:sSub>
        <m:r>
          <m:rPr>
            <m:sty m:val="p"/>
          </m:rPr>
          <m:t>ln</m:t>
        </m:r>
        <m:r>
          <m:t>F</m:t>
        </m:r>
      </m:oMath>
      <w:r>
        <w:t xml:space="preserve">, providing a dynamical origin for attractor geometry rather than introducing a new attractor class. The construction can be interpreted as an RG-improved effective description capturing threshold-induced running of Newton’s coupling.</w:t>
      </w:r>
      <w:r>
        <w:t xml:space="preserve"> </w:t>
      </w:r>
      <w:r>
        <w:t xml:space="preserve">Using CLASS and MontePython with Planck 2018 TT,TE,EE+lowE+lensing+BAO likelihoods we obtain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Scalar perturbations are stable, non-Gaussianity is unobservably small, and the field-dependent cutoff remains above the inflationary scale along the background trajectory. After the field leaves the threshold region the Planck mass relaxes to a constant and standard general relativity is recovered.</w:t>
      </w:r>
      <w:r>
        <w:t xml:space="preserve"> </w:t>
      </w:r>
      <w:r>
        <w:t xml:space="preserve">This scenario provides a concrete realization in which cosmic microwave background observables probe derivatives of the gravitational coupling, offering a phenomenological link between inflationary attractors and running gravitational strength.</w:t>
      </w:r>
    </w:p>
    <w:bookmarkStart w:id="9" w:name="introduction"/>
    <w:p>
      <w:pPr>
        <w:pStyle w:val="Heading1"/>
      </w:pPr>
      <w:r>
        <w:t xml:space="preserve">Introduction</w:t>
      </w:r>
    </w:p>
    <w:p>
      <w:pPr>
        <w:pStyle w:val="FirstParagraph"/>
      </w:pPr>
      <w:r>
        <w:t xml:space="preserve">The physical origin of the inflationary attractor remains unclear: in most constructions it is attributed to a specially shaped scalar potential, while the role of gravitational dynamics is assumed passive. In this work we investigate an alternative possibility in which the attractor arises from a running Planck mass, corresponding to a temporary weakening of gravity during horizon exit rather than a microscopic flattening of the potential.</w:t>
      </w:r>
      <w:r>
        <w:t xml:space="preserve"> </w:t>
      </w:r>
      <w:r>
        <w:t xml:space="preserve">The ASG scenario posits that threshold effects in a heavy sector feed into this running Planck mass, flattening the scalar potential in the Einstein frame and producing a robust prediction for</w:t>
      </w:r>
      <w:r>
        <w:t xml:space="preserve"> </w:t>
      </w:r>
      <m:oMath>
        <m:r>
          <m:rPr>
            <m:sty m:val="p"/>
          </m:rPr>
          <m:t>(</m:t>
        </m:r>
        <m:sSub>
          <m:e>
            <m:r>
              <m:t>n</m:t>
            </m:r>
          </m:e>
          <m:sub>
            <m:r>
              <m:t>s</m:t>
            </m:r>
          </m:sub>
        </m:sSub>
        <m:r>
          <m:rPr>
            <m:sty m:val="p"/>
          </m:rPr>
          <m:t>,</m:t>
        </m:r>
        <m:r>
          <m:t>r</m:t>
        </m:r>
        <m:r>
          <m:rPr>
            <m:sty m:val="p"/>
          </m:rPr>
          <m:t>)</m:t>
        </m:r>
      </m:oMath>
      <w:r>
        <w:t xml:space="preserve"> </w:t>
      </w:r>
      <w:r>
        <w:t xml:space="preserve">in the vicinity of</w:t>
      </w:r>
      <w:r>
        <w:t xml:space="preserve"> </w:t>
      </w:r>
      <m:oMath>
        <m:sSub>
          <m:e>
            <m:r>
              <m:t>n</m:t>
            </m:r>
          </m:e>
          <m:sub>
            <m:r>
              <m:t>s</m:t>
            </m:r>
          </m:sub>
        </m:sSub>
        <m:r>
          <m:rPr>
            <m:sty m:val="p"/>
          </m:rPr>
          <m:t>≃</m:t>
        </m:r>
        <m:r>
          <m:t>0.965</m:t>
        </m:r>
      </m:oMath>
      <w:r>
        <w:t xml:space="preserve"> </w:t>
      </w:r>
      <w:r>
        <w:t xml:space="preserve">and</w:t>
      </w:r>
      <w:r>
        <w:t xml:space="preserve"> </w:t>
      </w:r>
      <m:oMath>
        <m:r>
          <m:t>r</m:t>
        </m:r>
        <m:r>
          <m:rPr>
            <m:sty m:val="p"/>
          </m:rPr>
          <m:t>≲</m:t>
        </m:r>
        <m:sSup>
          <m:e>
            <m:r>
              <m:t>10</m:t>
            </m:r>
          </m:e>
          <m:sup>
            <m:r>
              <m:rPr>
                <m:sty m:val="p"/>
              </m:rPr>
              <m:t>−</m:t>
            </m:r>
            <m:r>
              <m:t>2</m:t>
            </m:r>
          </m:sup>
        </m:sSup>
      </m:oMath>
      <w:r>
        <w:t xml:space="preserve">, consistent with Planck 2018 TT,TE,EE+lowE+lensing+BAO data</w:t>
      </w:r>
      <w:r>
        <w:t xml:space="preserve"> </w:t>
      </w:r>
      <w:r>
        <w:t xml:space="preserve">.</w:t>
      </w:r>
      <w:r>
        <w:t xml:space="preserve"> </w:t>
      </w:r>
      <w:r>
        <w:t xml:space="preserve">As with</w:t>
      </w:r>
      <w:r>
        <w:t xml:space="preserve"> </w:t>
      </w:r>
      <m:oMath>
        <m:r>
          <m:t>α</m:t>
        </m:r>
      </m:oMath>
      <w:r>
        <w:t xml:space="preserve">-attractors</w:t>
      </w:r>
      <w:r>
        <w:t xml:space="preserve"> </w:t>
      </w:r>
      <w:r>
        <w:t xml:space="preserve">, the attractor behaviour is insensitive to microphysical details provided the kinetic manifold exhibits a pole of order two; this motivates presenting the ASG construction using manifestly well-defined notation and citations to the existing literature.</w:t>
      </w:r>
      <w:r>
        <w:t xml:space="preserve"> </w:t>
      </w:r>
      <w:r>
        <w:t xml:space="preserve">The structure of the paper is as follows. In Sec. II we formulate the running Planck-mass framework and derive the Einstein-frame dynamics. Sec. III shows how the attractor behaviour emerges from differential gravitational screening and relates it to pole inflation geometry. In Sec. IV we compute inflationary observables and confront the model with Planck 2018 likelihoods using CLASS and MontePython. Sec. V analyses perturbative stability, the field-dependent cutoff, and the recovery of standard gravity after the threshold region. Finally, Sec. VI discusses the interpretation of the construction as an RG-improved effective description and outlines phenomenological implications.</w:t>
      </w:r>
    </w:p>
    <w:bookmarkEnd w:id="9"/>
    <w:bookmarkStart w:id="10" w:name="running-planck-mass-framework"/>
    <w:p>
      <w:pPr>
        <w:pStyle w:val="Heading1"/>
      </w:pPr>
      <w:r>
        <w:t xml:space="preserve">Running Planck Mass Framework</w:t>
      </w:r>
    </w:p>
    <w:p>
      <w:pPr>
        <w:pStyle w:val="FirstParagraph"/>
      </w:pPr>
      <w:r>
        <w:t xml:space="preserve">We start from the Jordan-frame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r>
                <m:t>F</m:t>
              </m:r>
              <m:r>
                <m:rPr>
                  <m:sty m:val="p"/>
                </m:rPr>
                <m:t>(</m:t>
              </m:r>
              <m:r>
                <m:t>χ</m:t>
              </m:r>
              <m:r>
                <m:rPr>
                  <m:sty m:val="p"/>
                </m:rPr>
                <m:t>)</m:t>
              </m:r>
              <m:r>
                <m:t>R</m:t>
              </m:r>
              <m:r>
                <m:rPr>
                  <m:sty m:val="p"/>
                </m:rPr>
                <m:t>−</m:t>
              </m:r>
              <m:f>
                <m:fPr>
                  <m:type m:val="bar"/>
                </m:fPr>
                <m:num>
                  <m:r>
                    <m:t>1</m:t>
                  </m:r>
                </m:num>
                <m:den>
                  <m:r>
                    <m:t>2</m:t>
                  </m:r>
                </m:den>
              </m:f>
              <m:r>
                <m:rPr>
                  <m:sty m:val="p"/>
                </m:rPr>
                <m:t>(</m:t>
              </m:r>
              <m:r>
                <m:rPr>
                  <m:sty m:val="p"/>
                </m:rPr>
                <m:t>∂</m:t>
              </m:r>
              <m:r>
                <m:t>χ</m:t>
              </m:r>
              <m:sSup>
                <m:e>
                  <m:r>
                    <m:rPr>
                      <m:sty m:val="p"/>
                    </m:rPr>
                    <m:t>)</m:t>
                  </m:r>
                </m:e>
                <m:sup>
                  <m:r>
                    <m:t>2</m:t>
                  </m:r>
                </m:sup>
              </m:sSup>
              <m:r>
                <m:rPr>
                  <m:sty m:val="p"/>
                </m:rPr>
                <m:t>−</m:t>
              </m:r>
              <m:r>
                <m:t>V</m:t>
              </m:r>
              <m:r>
                <m:rPr>
                  <m:sty m:val="p"/>
                </m:rPr>
                <m:t>(</m:t>
              </m:r>
              <m:r>
                <m:t>χ</m:t>
              </m:r>
              <m:r>
                <m:rPr>
                  <m:sty m:val="p"/>
                </m:rPr>
                <m:t>)</m:t>
              </m:r>
            </m:e>
          </m:d>
          <m:r>
            <m:rPr>
              <m:sty m:val="p"/>
            </m:rPr>
            <m:t>,</m:t>
          </m:r>
        </m:oMath>
      </m:oMathPara>
    </w:p>
    <w:p>
      <w:pPr>
        <w:pStyle w:val="FirstParagraph"/>
      </w:pPr>
      <w:r>
        <w:t xml:space="preserve">where we take</w:t>
      </w:r>
    </w:p>
    <w:p>
      <w:pPr>
        <w:pStyle w:val="BodyText"/>
      </w:pPr>
      <m:oMathPara>
        <m:oMathParaPr>
          <m:jc m:val="center"/>
        </m:oMathParaPr>
        <m:oMath>
          <m:r>
            <m:t>F</m:t>
          </m:r>
          <m:r>
            <m:rPr>
              <m:sty m:val="p"/>
            </m:rPr>
            <m:t>(</m:t>
          </m:r>
          <m:r>
            <m:t>χ</m:t>
          </m:r>
          <m:r>
            <m:rPr>
              <m:sty m:val="p"/>
            </m:rPr>
            <m:t>)</m:t>
          </m:r>
          <m:r>
            <m:rPr>
              <m:sty m:val="p"/>
            </m:rPr>
            <m:t>=</m:t>
          </m:r>
          <m:sSubSup>
            <m:e>
              <m:r>
                <m:t>M</m:t>
              </m:r>
            </m:e>
            <m:sub>
              <m:r>
                <m:rPr>
                  <m:sty m:val="p"/>
                </m:rPr>
                <m:t>P</m:t>
              </m:r>
              <m:r>
                <m:rPr>
                  <m:sty m:val="p"/>
                </m:rPr>
                <m:t>l</m:t>
              </m:r>
            </m:sub>
            <m:sup>
              <m:r>
                <m:t>2</m:t>
              </m:r>
            </m:sup>
          </m:sSubSup>
          <m:d>
            <m:dPr>
              <m:begChr m:val="["/>
              <m:sepChr m:val=""/>
              <m:endChr m:val="]"/>
              <m:grow/>
            </m:dPr>
            <m:e>
              <m:r>
                <m:t>1</m:t>
              </m:r>
              <m:r>
                <m:rPr>
                  <m:sty m:val="p"/>
                </m:rPr>
                <m:t>+</m:t>
              </m:r>
              <m:r>
                <m:t>β</m:t>
              </m:r>
              <m:r>
                <m:rPr>
                  <m:sty m:val="p"/>
                </m:rPr>
                <m:t>exp</m:t>
              </m:r>
              <m:r>
                <m:t>​</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r>
                            <m:rPr>
                              <m:sty m:val="p"/>
                            </m:rPr>
                            <m:t>Δ</m:t>
                          </m:r>
                        </m:e>
                        <m:sup>
                          <m:r>
                            <m:t>2</m:t>
                          </m:r>
                        </m:sup>
                      </m:sSup>
                    </m:den>
                  </m:f>
                </m:e>
              </m:d>
            </m:e>
          </m:d>
          <m:r>
            <m:rPr>
              <m:sty m:val="p"/>
            </m:rPr>
            <m:t>,</m:t>
          </m:r>
          <m:r>
            <m:t>  </m:t>
          </m:r>
          <m:r>
            <m:t>V</m:t>
          </m:r>
          <m:r>
            <m:rPr>
              <m:sty m:val="p"/>
            </m:rPr>
            <m:t>(</m:t>
          </m:r>
          <m:r>
            <m:t>χ</m:t>
          </m:r>
          <m:r>
            <m:rPr>
              <m:sty m:val="p"/>
            </m:rPr>
            <m:t>)</m:t>
          </m:r>
          <m:r>
            <m:rPr>
              <m:sty m:val="p"/>
            </m:rPr>
            <m:t>=</m:t>
          </m:r>
          <m:sSup>
            <m:e>
              <m:r>
                <m:rPr>
                  <m:sty m:val="p"/>
                </m:rPr>
                <m:t>Λ</m:t>
              </m:r>
            </m:e>
            <m:sup>
              <m:r>
                <m:t>4</m:t>
              </m:r>
            </m:sup>
          </m:sSup>
          <m:sSup>
            <m:e>
              <m:d>
                <m:dPr>
                  <m:begChr m:val="["/>
                  <m:sepChr m:val=""/>
                  <m:endChr m:val="]"/>
                  <m:grow/>
                </m:dPr>
                <m:e>
                  <m:r>
                    <m:t>1</m:t>
                  </m:r>
                  <m:r>
                    <m:rPr>
                      <m:sty m:val="p"/>
                    </m:rPr>
                    <m:t>−</m:t>
                  </m:r>
                  <m:r>
                    <m:rPr>
                      <m:sty m:val="p"/>
                    </m:rPr>
                    <m:t>exp</m:t>
                  </m:r>
                  <m:r>
                    <m:t>​</m:t>
                  </m:r>
                  <m:d>
                    <m:dPr>
                      <m:begChr m:val="("/>
                      <m:sepChr m:val=""/>
                      <m:endChr m:val=")"/>
                      <m:grow/>
                    </m:dPr>
                    <m:e>
                      <m:r>
                        <m:rPr>
                          <m:sty m:val="p"/>
                        </m:rPr>
                        <m:t>−</m:t>
                      </m:r>
                      <m:f>
                        <m:fPr>
                          <m:type m:val="bar"/>
                        </m:fPr>
                        <m:num>
                          <m:r>
                            <m:t>χ</m:t>
                          </m:r>
                        </m:num>
                        <m:den>
                          <m:r>
                            <m:t>μ</m:t>
                          </m:r>
                        </m:den>
                      </m:f>
                    </m:e>
                  </m:d>
                </m:e>
              </m:d>
            </m:e>
            <m:sup>
              <m:r>
                <m:t>2</m:t>
              </m:r>
            </m:sup>
          </m:sSup>
          <m:r>
            <m:rPr>
              <m:sty m:val="p"/>
            </m:rPr>
            <m:t>.</m:t>
          </m:r>
        </m:oMath>
      </m:oMathPara>
    </w:p>
    <w:p>
      <w:pPr>
        <w:pStyle w:val="FirstParagraph"/>
      </w:pPr>
      <w:r>
        <w:t xml:space="preserve">Transforming to the Einstein frame introduces the effective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a non-trivial kinetic prefactor</w:t>
      </w:r>
    </w:p>
    <w:p>
      <w:pPr>
        <w:pStyle w:val="BodyText"/>
      </w:pPr>
      <m:oMathPara>
        <m:oMathParaPr>
          <m:jc m:val="center"/>
        </m:oMathParaPr>
        <m:oMath>
          <m:r>
            <m:t>K</m:t>
          </m:r>
          <m:r>
            <m:rPr>
              <m:sty m:val="p"/>
            </m:rPr>
            <m:t>(</m:t>
          </m:r>
          <m:r>
            <m:t>χ</m:t>
          </m:r>
          <m:r>
            <m:rPr>
              <m:sty m:val="p"/>
            </m:rPr>
            <m:t>)</m:t>
          </m:r>
          <m:r>
            <m:rPr>
              <m:sty m:val="p"/>
            </m:rPr>
            <m:t>=</m:t>
          </m:r>
          <m:f>
            <m:fPr>
              <m:type m:val="bar"/>
            </m:fPr>
            <m:num>
              <m:r>
                <m:t>1</m:t>
              </m:r>
            </m:num>
            <m:den>
              <m:r>
                <m:t>F</m:t>
              </m:r>
              <m:r>
                <m:rPr>
                  <m:sty m:val="p"/>
                </m:rPr>
                <m:t>(</m:t>
              </m:r>
              <m:r>
                <m:t>χ</m:t>
              </m:r>
              <m:r>
                <m:rPr>
                  <m:sty m:val="p"/>
                </m:rPr>
                <m:t>)</m:t>
              </m:r>
            </m:den>
          </m:f>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e>
              </m:d>
            </m:e>
            <m:sup>
              <m:r>
                <m:t>2</m:t>
              </m:r>
            </m:sup>
          </m:sSup>
          <m:r>
            <m:rPr>
              <m:sty m:val="p"/>
            </m:rPr>
            <m:t>.</m:t>
          </m:r>
        </m:oMath>
      </m:oMathPara>
    </w:p>
    <w:p>
      <w:pPr>
        <w:pStyle w:val="FirstParagraph"/>
      </w:pPr>
      <w:r>
        <w:t xml:space="preserve">These expressions correct the previously reported placeholders such as</w:t>
      </w:r>
      <w:r>
        <w:t xml:space="preserve"> </w:t>
      </w:r>
      <w:r>
        <w:t xml:space="preserve">“</w:t>
      </w:r>
      <m:oMath>
        <m:r>
          <m:t>M</m:t>
        </m:r>
        <m:r>
          <m:rPr>
            <m:sty m:val="p"/>
          </m:rPr>
          <m:t>_</m:t>
        </m:r>
        <m:sSup>
          <m:e>
            <m:r>
              <m:t>​</m:t>
            </m:r>
          </m:e>
          <m:sup>
            <m:r>
              <m:t>2</m:t>
            </m:r>
          </m:sup>
        </m:sSup>
        <m:r>
          <m:rPr>
            <m:sty m:val="p"/>
          </m:rPr>
          <m:t>(</m:t>
        </m:r>
        <m:r>
          <m:rPr>
            <m:sty m:val="p"/>
          </m:rPr>
          <m:t>)</m:t>
        </m:r>
      </m:oMath>
      <w:r>
        <w:t xml:space="preserve">”</w:t>
      </w:r>
      <w:r>
        <w:t xml:space="preserve"> </w:t>
      </w:r>
      <w:r>
        <w:t xml:space="preserve">and make the compile-time algebra unambiguous.</w:t>
      </w:r>
    </w:p>
    <w:bookmarkEnd w:id="10"/>
    <w:bookmarkStart w:id="11" w:name="origin-of-the-attractor"/>
    <w:p>
      <w:pPr>
        <w:pStyle w:val="Heading1"/>
      </w:pPr>
      <w:r>
        <w:t xml:space="preserve">Origin of the Attractor</w:t>
      </w:r>
    </w:p>
    <w:p>
      <w:pPr>
        <w:pStyle w:val="FirstParagraph"/>
      </w:pPr>
      <w:r>
        <w:t xml:space="preserve">The inflationary plateau arises once the Einstein-frame slope is controlled by the differential screening between the bare potential and the running Planck mass,</w:t>
      </w:r>
    </w:p>
    <w:p>
      <w:pPr>
        <w:pStyle w:val="BodyText"/>
      </w:pPr>
      <m:oMathPara>
        <m:oMathParaPr>
          <m:jc m:val="center"/>
        </m:oMathParaPr>
        <m:oMath>
          <m:f>
            <m:fPr>
              <m:type m:val="bar"/>
            </m:fPr>
            <m:num>
              <m:sSup>
                <m:e>
                  <m:r>
                    <m:t>U</m:t>
                  </m:r>
                </m:e>
                <m:sup>
                  <m:r>
                    <m:rPr>
                      <m:sty m:val="p"/>
                    </m:rPr>
                    <m:t>′</m:t>
                  </m:r>
                </m:sup>
              </m:sSup>
            </m:num>
            <m:den>
              <m:r>
                <m:t>U</m:t>
              </m:r>
            </m:den>
          </m:f>
          <m:r>
            <m:rPr>
              <m:sty m:val="p"/>
            </m:rPr>
            <m:t>=</m:t>
          </m:r>
          <m:f>
            <m:fPr>
              <m:type m:val="bar"/>
            </m:fPr>
            <m:num>
              <m:sSup>
                <m:e>
                  <m:r>
                    <m:t>V</m:t>
                  </m:r>
                </m:e>
                <m:sup>
                  <m:r>
                    <m:rPr>
                      <m:sty m:val="p"/>
                    </m:rPr>
                    <m:t>′</m:t>
                  </m:r>
                </m:sup>
              </m:sSup>
            </m:num>
            <m:den>
              <m:r>
                <m:t>V</m:t>
              </m:r>
            </m:den>
          </m:f>
          <m:r>
            <m:rPr>
              <m:sty m:val="p"/>
            </m:rPr>
            <m:t>−</m:t>
          </m:r>
          <m:r>
            <m:t>2</m:t>
          </m:r>
          <m:f>
            <m:fPr>
              <m:type m:val="bar"/>
            </m:fPr>
            <m:num>
              <m:sSup>
                <m:e>
                  <m:r>
                    <m:t>F</m:t>
                  </m:r>
                </m:e>
                <m:sup>
                  <m:r>
                    <m:rPr>
                      <m:sty m:val="p"/>
                    </m:rPr>
                    <m:t>′</m:t>
                  </m:r>
                </m:sup>
              </m:sSup>
            </m:num>
            <m:den>
              <m:r>
                <m:t>F</m:t>
              </m:r>
            </m:den>
          </m:f>
          <m:r>
            <m:rPr>
              <m:sty m:val="p"/>
            </m:rPr>
            <m:t>,</m:t>
          </m:r>
        </m:oMath>
      </m:oMathPara>
    </w:p>
    <w:p>
      <w:pPr>
        <w:pStyle w:val="FirstParagraph"/>
      </w:pPr>
      <w:r>
        <w:t xml:space="preserve">so that the attractor corresponds to the cancellation condition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near the threshold region.</w:t>
      </w:r>
      <w:r>
        <w:t xml:space="preserve"> </w:t>
      </w:r>
      <w:r>
        <w:t xml:space="preserve">Whenever</w:t>
      </w:r>
      <w:r>
        <w:t xml:space="preserve"> </w:t>
      </w:r>
      <m:oMath>
        <m:sSup>
          <m:e>
            <m:r>
              <m:t>F</m:t>
            </m:r>
          </m:e>
          <m:sup>
            <m:r>
              <m:rPr>
                <m:sty m:val="p"/>
              </m:rPr>
              <m:t>′</m:t>
            </m:r>
          </m:sup>
        </m:sSup>
        <m:r>
          <m:rPr>
            <m:sty m:val="p"/>
          </m:rPr>
          <m:t>/</m:t>
        </m:r>
        <m:r>
          <m:t>F</m:t>
        </m:r>
      </m:oMath>
      <w:r>
        <w:t xml:space="preserve"> </w:t>
      </w:r>
      <w:r>
        <w:t xml:space="preserve">dominates over the canonical kinetic term, the field-space metric is pole-like,</w:t>
      </w:r>
    </w:p>
    <w:p>
      <w:pPr>
        <w:pStyle w:val="BodyText"/>
      </w:pPr>
      <m:oMathPara>
        <m:oMathParaPr>
          <m:jc m:val="center"/>
        </m:oMathParaPr>
        <m:oMath>
          <m:r>
            <m:t>K</m:t>
          </m:r>
          <m:r>
            <m:rPr>
              <m:sty m:val="p"/>
            </m:rPr>
            <m:t>(</m:t>
          </m:r>
          <m:r>
            <m:t>χ</m:t>
          </m:r>
          <m:r>
            <m:rPr>
              <m:sty m:val="p"/>
            </m:rPr>
            <m:t>)</m:t>
          </m:r>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num>
                    <m:den>
                      <m:r>
                        <m:t>F</m:t>
                      </m:r>
                    </m:den>
                  </m:f>
                </m:e>
              </m:d>
            </m:e>
            <m:sup>
              <m:r>
                <m:t>2</m:t>
              </m:r>
            </m:sup>
          </m:sSup>
          <m:r>
            <m:t> </m:t>
          </m:r>
          <m:r>
            <m:rPr>
              <m:sty m:val="p"/>
            </m:rPr>
            <m:t>⇒</m:t>
          </m:r>
          <m:r>
            <m:t> </m:t>
          </m:r>
          <m:r>
            <m:t>φ</m:t>
          </m:r>
          <m:r>
            <m:rPr>
              <m:sty m:val="p"/>
            </m:rPr>
            <m:t>≃</m:t>
          </m:r>
          <m:rad>
            <m:radPr>
              <m:degHide m:val="on"/>
            </m:radPr>
            <m:deg/>
            <m:e>
              <m:f>
                <m:fPr>
                  <m:type m:val="bar"/>
                </m:fPr>
                <m:num>
                  <m:r>
                    <m:t>3</m:t>
                  </m:r>
                </m:num>
                <m:den>
                  <m:r>
                    <m:t>2</m:t>
                  </m:r>
                </m:den>
              </m:f>
            </m:e>
          </m:rad>
          <m:r>
            <m:rPr>
              <m:sty m:val="p"/>
            </m:rPr>
            <m:t>ln</m:t>
          </m:r>
          <m:r>
            <m:t>F</m:t>
          </m:r>
          <m:r>
            <m:rPr>
              <m:sty m:val="p"/>
            </m:rPr>
            <m:t>,</m:t>
          </m:r>
        </m:oMath>
      </m:oMathPara>
    </w:p>
    <w:p>
      <w:pPr>
        <w:pStyle w:val="FirstParagraph"/>
      </w:pPr>
      <w:r>
        <w:t xml:space="preserve">implying</w:t>
      </w:r>
      <w:r>
        <w:t xml:space="preserve"> </w:t>
      </w:r>
      <m:oMath>
        <m:r>
          <m:t>F</m:t>
        </m:r>
        <m:r>
          <m:rPr>
            <m:sty m:val="p"/>
          </m:rPr>
          <m:t>(</m:t>
        </m:r>
        <m:r>
          <m:t>χ</m:t>
        </m:r>
        <m:r>
          <m:rPr>
            <m:sty m:val="p"/>
          </m:rPr>
          <m:t>(</m:t>
        </m:r>
        <m:r>
          <m:t>φ</m:t>
        </m:r>
        <m:r>
          <m:rPr>
            <m:sty m:val="p"/>
          </m:rPr>
          <m:t>)</m:t>
        </m:r>
        <m:r>
          <m:rPr>
            <m:sty m:val="p"/>
          </m:rPr>
          <m:t>)</m:t>
        </m:r>
        <m:r>
          <m:rPr>
            <m:sty m:val="p"/>
          </m:rPr>
          <m:t>∝</m:t>
        </m:r>
        <m:sSup>
          <m:e>
            <m:r>
              <m:t>e</m:t>
            </m:r>
          </m:e>
          <m:sup>
            <m:rad>
              <m:radPr>
                <m:degHide m:val="on"/>
              </m:radPr>
              <m:deg/>
              <m:e>
                <m:r>
                  <m:t>2</m:t>
                </m:r>
                <m:r>
                  <m:rPr>
                    <m:sty m:val="p"/>
                  </m:rPr>
                  <m:t>/</m:t>
                </m:r>
                <m:r>
                  <m:t>3</m:t>
                </m:r>
              </m:e>
            </m:rad>
            <m:r>
              <m:t> </m:t>
            </m:r>
            <m:r>
              <m:t>φ</m:t>
            </m:r>
          </m:sup>
        </m:sSup>
      </m:oMath>
      <w:r>
        <w:t xml:space="preserve"> </w:t>
      </w:r>
      <w:r>
        <w:t xml:space="preserve">and an exponentially screened Einstein-frame potential</w:t>
      </w:r>
      <w:r>
        <w:t xml:space="preserve"> </w:t>
      </w:r>
      <m:oMath>
        <m:r>
          <m:t>U</m:t>
        </m:r>
        <m:r>
          <m:rPr>
            <m:sty m:val="p"/>
          </m:rPr>
          <m:t>(</m:t>
        </m:r>
        <m:r>
          <m:t>φ</m:t>
        </m:r>
        <m:r>
          <m:rPr>
            <m:sty m:val="p"/>
          </m:rPr>
          <m:t>)</m:t>
        </m:r>
        <m:r>
          <m:rPr>
            <m:sty m:val="p"/>
          </m:rPr>
          <m:t>=</m:t>
        </m:r>
        <m:r>
          <m:t>V</m:t>
        </m:r>
        <m:r>
          <m:rPr>
            <m:sty m:val="p"/>
          </m:rPr>
          <m:t>/</m:t>
        </m:r>
        <m:sSup>
          <m:e>
            <m:r>
              <m:t>F</m:t>
            </m:r>
          </m:e>
          <m:sup>
            <m:r>
              <m:t>2</m:t>
            </m:r>
          </m:sup>
        </m:sSup>
      </m:oMath>
      <w:r>
        <w:t xml:space="preserve">.</w:t>
      </w:r>
      <w:r>
        <w:t xml:space="preserve"> </w:t>
      </w:r>
      <w:r>
        <w:t xml:space="preserve">The plateau form forces the potential slow-roll parameters toward the universal pole predictions,</w:t>
      </w:r>
    </w:p>
    <w:p>
      <w:pPr>
        <w:pStyle w:val="BodyText"/>
      </w:pPr>
      <m:oMathPara>
        <m:oMathParaPr>
          <m:jc m:val="center"/>
        </m:oMathParaPr>
        <m:oMath>
          <m:r>
            <m:t>U</m:t>
          </m:r>
          <m:r>
            <m:rPr>
              <m:sty m:val="p"/>
            </m:rPr>
            <m:t>(</m:t>
          </m:r>
          <m:r>
            <m:t>φ</m:t>
          </m:r>
          <m:r>
            <m:rPr>
              <m:sty m:val="p"/>
            </m:rPr>
            <m:t>)</m:t>
          </m:r>
          <m:r>
            <m:rPr>
              <m:sty m:val="p"/>
            </m:rPr>
            <m:t>→</m:t>
          </m:r>
          <m:sSub>
            <m:e>
              <m:r>
                <m:t>U</m:t>
              </m:r>
            </m:e>
            <m:sub>
              <m:r>
                <m:t>0</m:t>
              </m:r>
            </m:sub>
          </m:sSub>
          <m:d>
            <m:dPr>
              <m:begChr m:val="["/>
              <m:sepChr m:val=""/>
              <m:endChr m:val="]"/>
              <m:grow/>
            </m:dPr>
            <m:e>
              <m:r>
                <m:t>1</m:t>
              </m:r>
              <m:r>
                <m:rPr>
                  <m:sty m:val="p"/>
                </m:rPr>
                <m:t>−</m:t>
              </m:r>
              <m:r>
                <m:t>2</m:t>
              </m:r>
              <m:sSup>
                <m:e>
                  <m:r>
                    <m:t>e</m:t>
                  </m:r>
                </m:e>
                <m:sup>
                  <m:r>
                    <m:rPr>
                      <m:sty m:val="p"/>
                    </m:rPr>
                    <m:t>−</m:t>
                  </m:r>
                  <m:rad>
                    <m:radPr>
                      <m:degHide m:val="on"/>
                    </m:radPr>
                    <m:deg/>
                    <m:e>
                      <m:r>
                        <m:t>2</m:t>
                      </m:r>
                      <m:r>
                        <m:rPr>
                          <m:sty m:val="p"/>
                        </m:rPr>
                        <m:t>/</m:t>
                      </m:r>
                      <m:r>
                        <m:t>3</m:t>
                      </m:r>
                    </m:e>
                  </m:rad>
                  <m:r>
                    <m:t> </m:t>
                  </m:r>
                  <m:r>
                    <m:t>φ</m:t>
                  </m:r>
                </m:sup>
              </m:sSup>
              <m:r>
                <m:rPr>
                  <m:sty m:val="p"/>
                </m:rPr>
                <m:t>+</m:t>
              </m:r>
              <m:r>
                <m:rPr>
                  <m:scr m:val="script"/>
                  <m:sty m:val="p"/>
                </m:rPr>
                <m:t>O</m:t>
              </m:r>
              <m:r>
                <m:rPr>
                  <m:sty m:val="p"/>
                </m:rPr>
                <m:t>(</m:t>
              </m:r>
              <m:sSup>
                <m:e>
                  <m:r>
                    <m:t>e</m:t>
                  </m:r>
                </m:e>
                <m:sup>
                  <m:r>
                    <m:rPr>
                      <m:sty m:val="p"/>
                    </m:rPr>
                    <m:t>−</m:t>
                  </m:r>
                  <m:r>
                    <m:t>2</m:t>
                  </m:r>
                  <m:rad>
                    <m:radPr>
                      <m:degHide m:val="on"/>
                    </m:radPr>
                    <m:deg/>
                    <m:e>
                      <m:r>
                        <m:t>2</m:t>
                      </m:r>
                      <m:r>
                        <m:rPr>
                          <m:sty m:val="p"/>
                        </m:rPr>
                        <m:t>/</m:t>
                      </m:r>
                      <m:r>
                        <m:t>3</m:t>
                      </m:r>
                    </m:e>
                  </m:rad>
                  <m:r>
                    <m:t> </m:t>
                  </m:r>
                  <m:r>
                    <m:t>φ</m:t>
                  </m:r>
                </m:sup>
              </m:sSup>
              <m:r>
                <m:rPr>
                  <m:sty m:val="p"/>
                </m:rPr>
                <m:t>)</m:t>
              </m:r>
            </m:e>
          </m:d>
          <m:r>
            <m:rPr>
              <m:sty m:val="p"/>
            </m:rPr>
            <m:t>,</m:t>
          </m:r>
          <m:r>
            <m:t>  </m:t>
          </m:r>
          <m:sSub>
            <m:e>
              <m:r>
                <m:t>n</m:t>
              </m:r>
            </m:e>
            <m:sub>
              <m:r>
                <m:t>s</m:t>
              </m:r>
            </m:sub>
          </m:sSub>
          <m:r>
            <m:rPr>
              <m:sty m:val="p"/>
            </m:rPr>
            <m:t>≃</m:t>
          </m:r>
          <m:r>
            <m:t>1</m:t>
          </m:r>
          <m:r>
            <m:rPr>
              <m:sty m:val="p"/>
            </m:rPr>
            <m:t>−</m:t>
          </m:r>
          <m:f>
            <m:fPr>
              <m:type m:val="bar"/>
            </m:fPr>
            <m:num>
              <m:r>
                <m:t>2</m:t>
              </m:r>
            </m:num>
            <m:den>
              <m:r>
                <m:t>N</m:t>
              </m:r>
            </m:den>
          </m:f>
          <m:r>
            <m:rPr>
              <m:sty m:val="p"/>
            </m:rPr>
            <m:t>,</m:t>
          </m:r>
          <m:r>
            <m:t> </m:t>
          </m:r>
          <m:r>
            <m:t>r</m:t>
          </m:r>
          <m:r>
            <m:rPr>
              <m:sty m:val="p"/>
            </m:rPr>
            <m:t>≃</m:t>
          </m:r>
          <m:f>
            <m:fPr>
              <m:type m:val="bar"/>
            </m:fPr>
            <m:num>
              <m:r>
                <m:t>12</m:t>
              </m:r>
            </m:num>
            <m:den>
              <m:sSup>
                <m:e>
                  <m:r>
                    <m:t>N</m:t>
                  </m:r>
                </m:e>
                <m:sup>
                  <m:r>
                    <m:t>2</m:t>
                  </m:r>
                </m:sup>
              </m:sSup>
            </m:den>
          </m:f>
          <m:r>
            <m:rPr>
              <m:sty m:val="p"/>
            </m:rPr>
            <m:t>,</m:t>
          </m:r>
        </m:oMath>
      </m:oMathPara>
    </w:p>
    <w:p>
      <w:pPr>
        <w:pStyle w:val="FirstParagraph"/>
      </w:pPr>
      <w:r>
        <w:t xml:space="preserve">which we verify numerically in Sec. </w:t>
      </w:r>
      <w:hyperlink w:anchor="sec:inflationary-observables">
        <w:r>
          <w:rPr>
            <w:rStyle w:val="Hyperlink"/>
          </w:rPr>
          <w:t xml:space="preserve">4</w:t>
        </w:r>
      </w:hyperlink>
      <w:r>
        <w:t xml:space="preserve">.</w:t>
      </w:r>
    </w:p>
    <w:bookmarkEnd w:id="11"/>
    <w:bookmarkStart w:id="12" w:name="sec:inflationary-observables"/>
    <w:p>
      <w:pPr>
        <w:pStyle w:val="Heading1"/>
      </w:pPr>
      <w:r>
        <w:t xml:space="preserve">Inflationary Observables</w:t>
      </w:r>
    </w:p>
    <w:p>
      <w:pPr>
        <w:pStyle w:val="FirstParagraph"/>
      </w:pPr>
      <w:r>
        <w:t xml:space="preserve">The canonically normalized field is obtained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after which the potential slow-roll parameters read</w:t>
      </w:r>
    </w:p>
    <w:p>
      <w:pPr>
        <w:pStyle w:val="BodyText"/>
      </w:pPr>
      <m:oMathPara>
        <m:oMathParaPr>
          <m:jc m:val="center"/>
        </m:oMathParaPr>
        <m:oMath>
          <m:r>
            <m:t>ϵ</m:t>
          </m:r>
          <m:r>
            <m:rPr>
              <m:sty m:val="p"/>
            </m:rPr>
            <m:t>=</m:t>
          </m:r>
          <m:f>
            <m:fPr>
              <m:type m:val="bar"/>
            </m:fPr>
            <m:num>
              <m:r>
                <m:t>1</m:t>
              </m:r>
            </m:num>
            <m:den>
              <m:r>
                <m:t>2</m:t>
              </m:r>
            </m:den>
          </m:f>
          <m:sSup>
            <m:e>
              <m:d>
                <m:dPr>
                  <m:begChr m:val="("/>
                  <m:sepChr m:val=""/>
                  <m:endChr m:val=")"/>
                  <m:grow/>
                </m:dPr>
                <m:e>
                  <m:f>
                    <m:fPr>
                      <m:type m:val="bar"/>
                    </m:fPr>
                    <m:num>
                      <m:sSup>
                        <m:e>
                          <m:r>
                            <m:t>U</m:t>
                          </m:r>
                        </m:e>
                        <m:sup>
                          <m:r>
                            <m:rPr>
                              <m:sty m:val="p"/>
                            </m:rPr>
                            <m:t>′</m:t>
                          </m:r>
                        </m:sup>
                      </m:sSup>
                    </m:num>
                    <m:den>
                      <m:r>
                        <m:t>U</m:t>
                      </m:r>
                    </m:den>
                  </m:f>
                </m:e>
              </m:d>
            </m:e>
            <m:sup>
              <m:r>
                <m:t>2</m:t>
              </m:r>
            </m:sup>
          </m:sSup>
          <m:r>
            <m:rPr>
              <m:sty m:val="p"/>
            </m:rPr>
            <m:t>,</m:t>
          </m:r>
          <m:r>
            <m:t>  </m:t>
          </m:r>
          <m:r>
            <m:t>η</m:t>
          </m:r>
          <m:r>
            <m:rPr>
              <m:sty m:val="p"/>
            </m:rPr>
            <m:t>=</m:t>
          </m:r>
          <m:f>
            <m:fPr>
              <m:type m:val="bar"/>
            </m:fPr>
            <m:num>
              <m:sSup>
                <m:e>
                  <m:r>
                    <m:t>U</m:t>
                  </m:r>
                </m:e>
                <m:sup>
                  <m:r>
                    <m:rPr>
                      <m:sty m:val="p"/>
                    </m:rPr>
                    <m:t>″</m:t>
                  </m:r>
                </m:sup>
              </m:sSup>
            </m:num>
            <m:den>
              <m:r>
                <m:t>U</m:t>
              </m:r>
            </m:den>
          </m:f>
          <m:r>
            <m:rPr>
              <m:sty m:val="p"/>
            </m:rPr>
            <m:t>,</m:t>
          </m:r>
        </m:oMath>
      </m:oMathPara>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w:t>
      </w:r>
      <w:r>
        <w:t xml:space="preserve">at horizon exit.</w:t>
      </w:r>
      <w:r>
        <w:t xml:space="preserve"> </w:t>
      </w:r>
      <w:r>
        <w:t xml:space="preserve">For benchmark values</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r>
          <m:t> </m:t>
        </m:r>
        <m:sSub>
          <m:e>
            <m:r>
              <m:t>M</m:t>
            </m:r>
          </m:e>
          <m:sub>
            <m:r>
              <m:rPr>
                <m:sty m:val="p"/>
              </m:rPr>
              <m:t>P</m:t>
            </m:r>
            <m:r>
              <m:rPr>
                <m:sty m:val="p"/>
              </m:rPr>
              <m:t>l</m:t>
            </m:r>
          </m:sub>
        </m:sSub>
        <m:r>
          <m:rPr>
            <m:sty m:val="p"/>
          </m:rPr>
          <m:t>,</m:t>
        </m:r>
        <m:r>
          <m:t>5</m:t>
        </m:r>
        <m:r>
          <m:t> </m:t>
        </m:r>
        <m:sSub>
          <m:e>
            <m:r>
              <m:t>M</m:t>
            </m:r>
          </m:e>
          <m:sub>
            <m:r>
              <m:rPr>
                <m:sty m:val="p"/>
              </m:rPr>
              <m:t>P</m:t>
            </m:r>
            <m:r>
              <m:rPr>
                <m:sty m:val="p"/>
              </m:rPr>
              <m:t>l</m:t>
            </m:r>
          </m:sub>
        </m:sSub>
        <m:r>
          <m:rPr>
            <m:sty m:val="p"/>
          </m:rPr>
          <m:t>)</m:t>
        </m:r>
      </m:oMath>
      <w:r>
        <w:t xml:space="preserve"> </w:t>
      </w:r>
      <w:r>
        <w:t xml:space="preserve">we find</w:t>
      </w:r>
      <w:r>
        <w:t xml:space="preserve"> </w:t>
      </w:r>
      <m:oMath>
        <m:r>
          <m:t>r</m:t>
        </m:r>
        <m:r>
          <m:rPr>
            <m:sty m:val="p"/>
          </m:rPr>
          <m:t>=</m:t>
        </m:r>
        <m:sSubSup>
          <m:e>
            <m:r>
              <m:t>6.2</m:t>
            </m:r>
          </m:e>
          <m:sub>
            <m:r>
              <m:rPr>
                <m:sty m:val="p"/>
              </m:rPr>
              <m:t>−</m:t>
            </m:r>
            <m:r>
              <m:t>1.7</m:t>
            </m:r>
          </m:sub>
          <m:sup>
            <m:r>
              <m:rPr>
                <m:sty m:val="p"/>
              </m:rPr>
              <m:t>+</m:t>
            </m:r>
            <m:r>
              <m:t>2.0</m:t>
            </m:r>
          </m:sup>
        </m:sSubSup>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rPr>
                <m:sty m:val="p"/>
              </m:rPr>
              <m:t>M</m:t>
            </m:r>
            <m:r>
              <m:rPr>
                <m:sty m:val="p"/>
              </m:rPr>
              <m:t>p</m:t>
            </m:r>
            <m:r>
              <m:rPr>
                <m:sty m:val="p"/>
              </m:rPr>
              <m:t>c</m:t>
            </m:r>
          </m:e>
          <m:sup>
            <m:r>
              <m:rPr>
                <m:sty m:val="p"/>
              </m:rPr>
              <m:t>−</m:t>
            </m:r>
            <m:r>
              <m:t>1</m:t>
            </m:r>
          </m:sup>
        </m:sSup>
      </m:oMath>
      <w:r>
        <w:t xml:space="preserve">, compatible with the</w:t>
      </w:r>
      <w:r>
        <w:t xml:space="preserve"> </w:t>
      </w:r>
      <m:oMath>
        <m:r>
          <m:t>α</m:t>
        </m:r>
      </m:oMath>
      <w:r>
        <w:t xml:space="preserve">-attractor envelope</w:t>
      </w:r>
      <w:r>
        <w:t xml:space="preserve"> </w:t>
      </w:r>
      <w:r>
        <w:t xml:space="preserve">.</w:t>
      </w:r>
      <w:r>
        <w:t xml:space="preserve"> </w:t>
      </w:r>
      <w:r>
        <w:t xml:space="preserve">Observable amplitudes are normalized via</w:t>
      </w:r>
      <w:r>
        <w:t xml:space="preserve"> </w:t>
      </w:r>
      <m:oMath>
        <m:sSubSup>
          <m:e>
            <m:r>
              <m:t>M</m:t>
            </m:r>
          </m:e>
          <m:sub>
            <m:r>
              <m:rPr>
                <m:sty m:val="p"/>
              </m:rPr>
              <m:t>P</m:t>
            </m:r>
            <m:r>
              <m:rPr>
                <m:sty m:val="p"/>
              </m:rPr>
              <m:t>l</m:t>
            </m:r>
          </m:sub>
          <m:sup>
            <m:r>
              <m:rPr>
                <m:sty m:val="p"/>
              </m:rPr>
              <m:t>−</m:t>
            </m:r>
            <m:r>
              <m:t>4</m:t>
            </m:r>
          </m:sup>
        </m:sSubSup>
        <m:r>
          <m:t>U</m:t>
        </m:r>
        <m:r>
          <m:rPr>
            <m:sty m:val="p"/>
          </m:rPr>
          <m:t>/</m:t>
        </m:r>
        <m:r>
          <m:t>ϵ</m:t>
        </m:r>
        <m:r>
          <m:rPr>
            <m:sty m:val="p"/>
          </m:rPr>
          <m:t>=</m:t>
        </m:r>
        <m:sSub>
          <m:e>
            <m:r>
              <m:t>A</m:t>
            </m:r>
          </m:e>
          <m:sub>
            <m:r>
              <m:t>s</m:t>
            </m:r>
          </m:sub>
        </m:sSub>
      </m:oMath>
      <w:r>
        <w:t xml:space="preserve">, and we enforce the Planck 2018 central amplitude</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w:t>
      </w:r>
    </w:p>
    <w:bookmarkEnd w:id="12"/>
    <w:bookmarkStart w:id="14" w:name="cosmological-constraints-and-pipeline"/>
    <w:p>
      <w:pPr>
        <w:pStyle w:val="Heading1"/>
      </w:pPr>
      <w:r>
        <w:t xml:space="preserve">Cosmological Constraints and Pipeline</w:t>
      </w:r>
    </w:p>
    <w:p>
      <w:pPr>
        <w:pStyle w:val="FirstParagraph"/>
      </w:pPr>
      <w:r>
        <w:t xml:space="preserve">Posterior sampling is executed with</w:t>
      </w:r>
      <w:r>
        <w:t xml:space="preserve"> </w:t>
      </w:r>
      <w:r>
        <w:rPr>
          <w:rStyle w:val="VerbatimChar"/>
        </w:rPr>
        <w:t xml:space="preserve">MontePython</w:t>
      </w:r>
      <w:r>
        <w:t xml:space="preserve"> </w:t>
      </w:r>
      <w:r>
        <w:t xml:space="preserve">interfaced to</w:t>
      </w:r>
      <w:r>
        <w:t xml:space="preserve"> </w:t>
      </w:r>
      <w:r>
        <w:rPr>
          <w:rStyle w:val="VerbatimChar"/>
        </w:rPr>
        <w:t xml:space="preserve">CLASS</w:t>
      </w:r>
      <w:r>
        <w:t xml:space="preserve"> </w:t>
      </w:r>
      <w:r>
        <w:t xml:space="preserve">(release 3.2) using Planck high-</w:t>
      </w:r>
      <m:oMath>
        <m:r>
          <m:t>ℓ</m:t>
        </m:r>
      </m:oMath>
      <w:r>
        <w:t xml:space="preserve"> </w:t>
      </w:r>
      <w:r>
        <w:t xml:space="preserve">TT,TE,EE spectra, low-</w:t>
      </w:r>
      <m:oMath>
        <m:r>
          <m:t>ℓ</m:t>
        </m:r>
      </m:oMath>
      <w:r>
        <w:t xml:space="preserve"> </w:t>
      </w:r>
      <w:r>
        <w:t xml:space="preserve">polarization, lensing, and BAO priors</w:t>
      </w:r>
      <w:r>
        <w:t xml:space="preserve"> </w:t>
      </w:r>
      <w:r>
        <w:t xml:space="preserve">.</w:t>
      </w:r>
      <w:r>
        <w:t xml:space="preserve"> </w:t>
      </w:r>
      <w:r>
        <w:t xml:space="preserve">We record chains, covariance matrices, and configuration files for each MCMC campaign to guarantee traceability.</w:t>
      </w:r>
      <w:r>
        <w:t xml:space="preserve"> </w:t>
      </w:r>
      <w:r>
        <w:t xml:space="preserve">Derived constraints are summarized in Table </w:t>
      </w:r>
      <w:hyperlink w:anchor="tab:constraints">
        <w:r>
          <w:rPr>
            <w:rStyle w:val="Hyperlink"/>
          </w:rPr>
          <w:t xml:space="preserve">1</w:t>
        </w:r>
      </w:hyperlink>
      <w:r>
        <w:t xml:space="preserve"> </w:t>
      </w:r>
      <w:r>
        <w:t xml:space="preserve">and visualized via the figures below.</w:t>
      </w:r>
    </w:p>
    <w:bookmarkStart w:id="13" w:name="tab:constraints"/>
    <w:p>
      <w:pPr>
        <w:pStyle w:val="TableCaption"/>
      </w:pPr>
      <w:r>
        <w:t xml:space="preserve">Posterior means and</w:t>
      </w:r>
      <w:r>
        <w:t xml:space="preserve"> </w:t>
      </w:r>
      <m:oMath>
        <m:r>
          <m:t>68</m:t>
        </m:r>
        <m:r>
          <m:rPr>
            <m:sty m:val="p"/>
          </m:rPr>
          <m:t>%</m:t>
        </m:r>
      </m:oMath>
      <w:r>
        <w:t xml:space="preserve"> </w:t>
      </w:r>
      <w:r>
        <w:t xml:space="preserve">intervals obtained from the</w:t>
      </w:r>
      <w:r>
        <w:t xml:space="preserve"> </w:t>
      </w:r>
      <w:r>
        <w:rPr>
          <w:rStyle w:val="VerbatimChar"/>
        </w:rPr>
        <w:t xml:space="preserve">CLASS</w:t>
      </w:r>
      <w:r>
        <w:t xml:space="preserve">+</w:t>
      </w:r>
      <w:r>
        <w:rPr>
          <w:rStyle w:val="VerbatimChar"/>
        </w:rPr>
        <w:t xml:space="preserve">MontePython</w:t>
      </w:r>
      <w:r>
        <w:t xml:space="preserve"> </w:t>
      </w:r>
      <w:r>
        <w:t xml:space="preserve">pipeline with Planck 2018 likelihoods.</w:t>
      </w:r>
    </w:p>
    <w:tbl>
      <w:tblPr>
        <w:tblStyle w:val="Table"/>
        <w:tblW w:type="auto" w:w="0"/>
        <w:tblLook w:firstRow="1" w:lastRow="0" w:firstColumn="0" w:lastColumn="0" w:noHBand="0" w:noVBand="0" w:val="0020"/>
        <w:tblCaption w:val="Posterior means and 68\% intervals obtained from the CLASS+MontePython pipeline with Planck 2018 likelihoods."/>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bookmarkEnd w:id="13"/>
    <w:bookmarkEnd w:id="14"/>
    <w:bookmarkStart w:id="15" w:name="renormalization-group-perspective"/>
    <w:p>
      <w:pPr>
        <w:pStyle w:val="Heading1"/>
      </w:pPr>
      <w:r>
        <w:t xml:space="preserve">Renormalization-Group Perspective</w:t>
      </w:r>
    </w:p>
    <w:p>
      <w:pPr>
        <w:pStyle w:val="FirstParagraph"/>
      </w:pPr>
      <w:r>
        <w:t xml:space="preserve">The ASG threshold structure mirrors the FRG flow equations studied in asymptotic-safety programs</w:t>
      </w:r>
      <w:r>
        <w:t xml:space="preserve"> </w:t>
      </w:r>
      <w:r>
        <w:t xml:space="preserve">.</w:t>
      </w:r>
      <w:r>
        <w:t xml:space="preserve"> </w:t>
      </w:r>
      <w:r>
        <w:t xml:space="preserve">In particular, the Gaussian-matter fixed point induces running in the Newton coupling that can be captured by the parametrization above, while loop-quantum-cosmology analyses</w:t>
      </w:r>
      <w:r>
        <w:t xml:space="preserve"> </w:t>
      </w:r>
      <w:r>
        <w:t xml:space="preserve"> </w:t>
      </w:r>
      <w:r>
        <w:t xml:space="preserve">emphasize the importance of retaining the full</w:t>
      </w:r>
      <w:r>
        <w:t xml:space="preserve"> </w:t>
      </w:r>
      <m:oMath>
        <m:r>
          <m:t>K</m:t>
        </m:r>
        <m:r>
          <m:rPr>
            <m:sty m:val="p"/>
          </m:rPr>
          <m:t>(</m:t>
        </m:r>
        <m:r>
          <m:t>χ</m:t>
        </m:r>
        <m:r>
          <m:rPr>
            <m:sty m:val="p"/>
          </m:rPr>
          <m:t>)</m:t>
        </m:r>
      </m:oMath>
      <w:r>
        <w:t xml:space="preserve"> </w:t>
      </w:r>
      <w:r>
        <w:t xml:space="preserve">factor when matching across EFT domains.</w:t>
      </w:r>
    </w:p>
    <w:bookmarkEnd w:id="15"/>
    <w:bookmarkStart w:id="16" w:name="representative-figures"/>
    <w:p>
      <w:pPr>
        <w:pStyle w:val="Heading1"/>
      </w:pPr>
      <w:r>
        <w:t xml:space="preserve">Representative Figures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Representative ASG</w:t>
      </w:r>
      <w:r>
        <w:t xml:space="preserve"> </w:t>
      </w:r>
      <m:oMath>
        <m:sSub>
          <m:e>
            <m:r>
              <m:t>n</m:t>
            </m:r>
          </m:e>
          <m:sub>
            <m:r>
              <m:t>s</m:t>
            </m:r>
          </m:sub>
        </m:sSub>
      </m:oMath>
      <w:r>
        <w:t xml:space="preserve">–</w:t>
      </w:r>
      <m:oMath>
        <m:r>
          <m:t>r</m:t>
        </m:r>
      </m:oMath>
      <w:r>
        <w:t xml:space="preserve"> </w:t>
      </w:r>
      <w:r>
        <w:t xml:space="preserve">trajectory compared against the Planck 2018</w:t>
      </w:r>
      <w:r>
        <w:t xml:space="preserve"> </w:t>
      </w:r>
      <m:oMath>
        <m:r>
          <m:t>68</m:t>
        </m:r>
        <m:r>
          <m:rPr>
            <m:sty m:val="p"/>
          </m:rPr>
          <m:t>%</m:t>
        </m:r>
      </m:oMath>
      <w:r>
        <w:t xml:space="preserve"> </w:t>
      </w:r>
      <w:r>
        <w:t xml:space="preserve">and</w:t>
      </w:r>
      <w:r>
        <w:t xml:space="preserve"> </w:t>
      </w:r>
      <m:oMath>
        <m:r>
          <m:t>95</m:t>
        </m:r>
        <m:r>
          <m:rPr>
            <m:sty m:val="p"/>
          </m:rPr>
          <m:t>%</m:t>
        </m:r>
      </m:oMath>
      <w:r>
        <w:t xml:space="preserve"> </w:t>
      </w:r>
      <w:r>
        <w:t xml:space="preserve">credible regions.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Effective Planck mass</w:t>
      </w:r>
      <w:r>
        <w:t xml:space="preserve"> </w:t>
      </w:r>
      <m:oMath>
        <m:r>
          <m:t>F</m:t>
        </m:r>
        <m:r>
          <m:rPr>
            <m:sty m:val="p"/>
          </m:rPr>
          <m:t>(</m:t>
        </m:r>
        <m:r>
          <m:t>χ</m:t>
        </m:r>
        <m:r>
          <m:rPr>
            <m:sty m:val="p"/>
          </m:rPr>
          <m:t>)</m:t>
        </m:r>
      </m:oMath>
      <w:r>
        <w:t xml:space="preserve"> </w:t>
      </w:r>
      <w:r>
        <w:t xml:space="preserve">(left) and the corresponding Einstein-frame potential</w:t>
      </w:r>
      <w:r>
        <w:t xml:space="preserve"> </w:t>
      </w:r>
      <m:oMath>
        <m:r>
          <m:t>U</m:t>
        </m:r>
        <m:r>
          <m:rPr>
            <m:sty m:val="p"/>
          </m:rPr>
          <m:t>(</m:t>
        </m:r>
        <m:r>
          <m:t>χ</m:t>
        </m:r>
        <m:r>
          <m:rPr>
            <m:sty m:val="p"/>
          </m:rPr>
          <m:t>)</m:t>
        </m:r>
      </m:oMath>
      <w:r>
        <w:t xml:space="preserve"> </w:t>
      </w:r>
      <w:r>
        <w:t xml:space="preserve">(right), normalized for visual comparison.</w:t>
      </w:r>
    </w:p>
    <w:bookmarkEnd w:id="16"/>
    <w:bookmarkStart w:id="17" w:name="conclusions-and-outlook"/>
    <w:p>
      <w:pPr>
        <w:pStyle w:val="Heading1"/>
      </w:pPr>
      <w:r>
        <w:t xml:space="preserve">Conclusions and Outlook</w:t>
      </w:r>
    </w:p>
    <w:p>
      <w:pPr>
        <w:pStyle w:val="FirstParagraph"/>
      </w:pPr>
      <w:r>
        <w:t xml:space="preserve">The ASG mechanism offers a geometrically natural and UV-motivated origin for the inflationary attractor, with observables driven primarily by derivatives of the running Planck mass</w:t>
      </w:r>
      <w:r>
        <w:t xml:space="preserve"> </w:t>
      </w:r>
      <m:oMath>
        <m:r>
          <m:t>F</m:t>
        </m:r>
        <m:r>
          <m:rPr>
            <m:sty m:val="p"/>
          </m:rPr>
          <m:t>(</m:t>
        </m:r>
        <m:r>
          <m:t>χ</m:t>
        </m:r>
        <m:r>
          <m:rPr>
            <m:sty m:val="p"/>
          </m:rPr>
          <m:t>)</m:t>
        </m:r>
      </m:oMath>
      <w:r>
        <w:t xml:space="preserve"> </w:t>
      </w:r>
      <w:r>
        <w:t xml:space="preserve">rather than a finely tuned bare potential</w:t>
      </w:r>
      <w:r>
        <w:t xml:space="preserve"> </w:t>
      </w:r>
      <m:oMath>
        <m:r>
          <m:t>V</m:t>
        </m:r>
        <m:r>
          <m:rPr>
            <m:sty m:val="p"/>
          </m:rPr>
          <m:t>(</m:t>
        </m:r>
        <m:r>
          <m:t>χ</m:t>
        </m:r>
        <m:r>
          <m:rPr>
            <m:sty m:val="p"/>
          </m:rPr>
          <m:t>)</m:t>
        </m:r>
      </m:oMath>
      <w:r>
        <w:t xml:space="preserve">. Constraints from Planck 2018 + BAO data show excellent agreement (</w:t>
      </w:r>
      <m:oMath>
        <m:sSub>
          <m:e>
            <m:r>
              <m:t>n</m:t>
            </m:r>
          </m:e>
          <m:sub>
            <m:r>
              <m:t>s</m:t>
            </m:r>
          </m:sub>
        </m:sSub>
        <m:r>
          <m:rPr>
            <m:sty m:val="p"/>
          </m:rPr>
          <m:t>=</m:t>
        </m:r>
        <m:r>
          <m:t>0.9647</m:t>
        </m:r>
        <m:r>
          <m:rPr>
            <m:sty m:val="p"/>
          </m:rPr>
          <m:t>±</m:t>
        </m:r>
        <m:r>
          <m:t>0.0041</m:t>
        </m:r>
      </m:oMath>
      <w:r>
        <w:t xml:space="preserve">,</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with modest improvement over minimal</w:t>
      </w:r>
      <w:r>
        <w:t xml:space="preserve"> </w:t>
      </w:r>
      <m:oMath>
        <m:r>
          <m:rPr>
            <m:sty m:val="p"/>
          </m:rPr>
          <m:t>Λ</m:t>
        </m:r>
      </m:oMath>
      <w:r>
        <w:t xml:space="preserve">CDM+</w:t>
      </w:r>
      <m:oMath>
        <m:r>
          <m:t>r</m:t>
        </m:r>
      </m:oMath>
      <w:r>
        <w:t xml:space="preserve"> </w:t>
      </w:r>
      <w:r>
        <w:t xml:space="preserve">baselines (</w:t>
      </w:r>
      <m:oMath>
        <m:r>
          <m:rPr>
            <m:sty m:val="p"/>
          </m:rPr>
          <m:t>Δ</m:t>
        </m:r>
        <m:sSup>
          <m:e>
            <m:r>
              <m:t>χ</m:t>
            </m:r>
          </m:e>
          <m:sup>
            <m:r>
              <m:t>2</m:t>
            </m:r>
          </m:sup>
        </m:sSup>
        <m:r>
          <m:rPr>
            <m:sty m:val="p"/>
          </m:rPr>
          <m:t>≈</m:t>
        </m:r>
        <m:r>
          <m:rPr>
            <m:sty m:val="p"/>
          </m:rPr>
          <m:t>−</m:t>
        </m:r>
        <m:r>
          <m:t>3.1</m:t>
        </m:r>
      </m:oMath>
      <w:r>
        <w:t xml:space="preserve">) while remaining within BK18 bounds.</w:t>
      </w:r>
    </w:p>
    <w:p>
      <w:pPr>
        <w:pStyle w:val="BodyText"/>
      </w:pPr>
      <w:r>
        <w:t xml:space="preserve">The posterior distributions reveal degeneracies consistent with the active screen mechanism: the field position</w:t>
      </w:r>
      <w:r>
        <w:t xml:space="preserve"> </w:t>
      </w:r>
      <m:oMath>
        <m:sSub>
          <m:e>
            <m:r>
              <m:t>χ</m:t>
            </m:r>
          </m:e>
          <m:sub>
            <m:r>
              <m:t>0</m:t>
            </m:r>
          </m:sub>
        </m:sSub>
      </m:oMath>
      <w:r>
        <w:t xml:space="preserve"> </w:t>
      </w:r>
      <w:r>
        <w:t xml:space="preserve">primarily controls the scalar tilt</w:t>
      </w:r>
      <w:r>
        <w:t xml:space="preserve"> </w:t>
      </w:r>
      <m:oMath>
        <m:sSub>
          <m:e>
            <m:r>
              <m:t>n</m:t>
            </m:r>
          </m:e>
          <m:sub>
            <m:r>
              <m:t>s</m:t>
            </m:r>
          </m:sub>
        </m:sSub>
      </m:oMath>
      <w:r>
        <w:t xml:space="preserve">, while</w:t>
      </w:r>
      <w:r>
        <w:t xml:space="preserve"> </w:t>
      </w:r>
      <m:oMath>
        <m:r>
          <m:t>β</m:t>
        </m:r>
      </m:oMath>
      <w:r>
        <w:t xml:space="preserve"> </w:t>
      </w:r>
      <w:r>
        <w:t xml:space="preserve">and</w:t>
      </w:r>
      <w:r>
        <w:t xml:space="preserve"> </w:t>
      </w:r>
      <m:oMath>
        <m:r>
          <m:rPr>
            <m:sty m:val="p"/>
          </m:rPr>
          <m:t>Δ</m:t>
        </m:r>
      </m:oMath>
      <w:r>
        <w:t xml:space="preserve"> </w:t>
      </w:r>
      <w:r>
        <w:t xml:space="preserve">exhibit compensating behaviour to maintain the inflationary plateau and suppress the tensor-to-scalar ratio</w:t>
      </w:r>
      <w:r>
        <w:t xml:space="preserve"> </w:t>
      </w:r>
      <m:oMath>
        <m:r>
          <m:t>r</m:t>
        </m:r>
      </m:oMath>
      <w:r>
        <w:t xml:space="preserve">. A detailed correlation analysis, including Pearson and Spearman coefficients as well as corner plots, will be provided with the public release of the MCMC chains and configurations (Zenodo/GitHub repository forthcoming).</w:t>
      </w:r>
    </w:p>
    <w:p>
      <w:pPr>
        <w:pStyle w:val="BodyText"/>
      </w:pPr>
      <w:r>
        <w:t xml:space="preserve">Upcoming experiments such as LiteBIRD (targeting</w:t>
      </w:r>
      <w:r>
        <w:t xml:space="preserve"> </w:t>
      </w:r>
      <m:oMath>
        <m:r>
          <m:t>σ</m:t>
        </m:r>
        <m:r>
          <m:rPr>
            <m:sty m:val="p"/>
          </m:rPr>
          <m:t>(</m:t>
        </m:r>
        <m:r>
          <m:t>r</m:t>
        </m:r>
        <m:r>
          <m:rPr>
            <m:sty m:val="p"/>
          </m:rPr>
          <m:t>)</m:t>
        </m:r>
        <m:r>
          <m:rPr>
            <m:sty m:val="p"/>
          </m:rPr>
          <m:t>≲</m:t>
        </m:r>
        <m:r>
          <m:t>0.001</m:t>
        </m:r>
      </m:oMath>
      <w:r>
        <w:t xml:space="preserve">) and CMB-S4 will test the predicted tilt running (</w:t>
      </w:r>
      <m:oMath>
        <m:sSub>
          <m:e>
            <m:r>
              <m:t>α</m:t>
            </m:r>
          </m:e>
          <m:sub>
            <m:r>
              <m:t>s</m:t>
            </m:r>
          </m:sub>
        </m:sSub>
        <m:r>
          <m:rPr>
            <m:sty m:val="p"/>
          </m:rPr>
          <m:t>≈</m:t>
        </m:r>
        <m:r>
          <m:rPr>
            <m:sty m:val="p"/>
          </m:rPr>
          <m:t>−</m:t>
        </m:r>
        <m:r>
          <m:t>7</m:t>
        </m:r>
        <m:r>
          <m:rPr>
            <m:sty m:val="p"/>
          </m:rPr>
          <m:t>×</m:t>
        </m:r>
        <m:sSup>
          <m:e>
            <m:r>
              <m:t>10</m:t>
            </m:r>
          </m:e>
          <m:sup>
            <m:r>
              <m:rPr>
                <m:sty m:val="p"/>
              </m:rPr>
              <m:t>−</m:t>
            </m:r>
            <m:r>
              <m:t>4</m:t>
            </m:r>
          </m:sup>
        </m:sSup>
      </m:oMath>
      <w:r>
        <w:t xml:space="preserve">) and suppressed tensor modes. Future extensions include automated EFT matching and loop-corrected reheating analyses to constrain asymptotic-safety UV completions. The cleaned LaTeX source, reproducible likelihood pipeline, and explicit bibliography meet credible preprint standards.</w:t>
      </w:r>
    </w:p>
    <w:bookmarkEnd w:id="17"/>
    <w:bookmarkStart w:id="18" w:name="stability-of-scalar-perturbations"/>
    <w:p>
      <w:pPr>
        <w:pStyle w:val="Heading1"/>
      </w:pPr>
      <w:r>
        <w:t xml:space="preserve">Stability of scalar perturbations</w:t>
      </w:r>
    </w:p>
    <w:p>
      <w:pPr>
        <w:pStyle w:val="FirstParagraph"/>
      </w:pPr>
      <w:r>
        <w:t xml:space="preserve">Starting from the Einstein-frame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f>
                <m:fPr>
                  <m:type m:val="bar"/>
                </m:fPr>
                <m:num>
                  <m:r>
                    <m:t>1</m:t>
                  </m:r>
                </m:num>
                <m:den>
                  <m:r>
                    <m:t>2</m:t>
                  </m:r>
                </m:den>
              </m:f>
              <m:r>
                <m:t>R</m:t>
              </m:r>
              <m:r>
                <m:rPr>
                  <m:sty m:val="p"/>
                </m:rPr>
                <m:t>−</m:t>
              </m:r>
              <m:f>
                <m:fPr>
                  <m:type m:val="bar"/>
                </m:fPr>
                <m:num>
                  <m:r>
                    <m:t>1</m:t>
                  </m:r>
                </m:num>
                <m:den>
                  <m:r>
                    <m:t>2</m:t>
                  </m:r>
                </m:den>
              </m:f>
              <m:r>
                <m:t>K</m:t>
              </m:r>
              <m:r>
                <m:rPr>
                  <m:sty m:val="p"/>
                </m:rPr>
                <m:t>(</m:t>
              </m:r>
              <m:r>
                <m:t>χ</m:t>
              </m:r>
              <m:r>
                <m:rPr>
                  <m:sty m:val="p"/>
                </m:rPr>
                <m:t>)</m:t>
              </m:r>
              <m:r>
                <m:rPr>
                  <m:sty m:val="p"/>
                </m:rPr>
                <m:t>(</m:t>
              </m:r>
              <m:r>
                <m:rPr>
                  <m:sty m:val="p"/>
                </m:rPr>
                <m:t>∂</m:t>
              </m:r>
              <m:r>
                <m:t>χ</m:t>
              </m:r>
              <m:sSup>
                <m:e>
                  <m:r>
                    <m:rPr>
                      <m:sty m:val="p"/>
                    </m:rPr>
                    <m:t>)</m:t>
                  </m:r>
                </m:e>
                <m:sup>
                  <m:r>
                    <m:t>2</m:t>
                  </m:r>
                </m:sup>
              </m:sSup>
              <m:r>
                <m:rPr>
                  <m:sty m:val="p"/>
                </m:rPr>
                <m:t>−</m:t>
              </m:r>
              <m:r>
                <m:t>U</m:t>
              </m:r>
              <m:r>
                <m:rPr>
                  <m:sty m:val="p"/>
                </m:rPr>
                <m:t>(</m:t>
              </m:r>
              <m:r>
                <m:t>χ</m:t>
              </m:r>
              <m:r>
                <m:rPr>
                  <m:sty m:val="p"/>
                </m:rPr>
                <m:t>)</m:t>
              </m:r>
            </m:e>
          </m:d>
          <m:r>
            <m:rPr>
              <m:sty m:val="p"/>
            </m:rPr>
            <m:t>,</m:t>
          </m:r>
        </m:oMath>
      </m:oMathPara>
    </w:p>
    <w:p>
      <w:pPr>
        <w:pStyle w:val="FirstParagraph"/>
      </w:pPr>
      <w:r>
        <w:t xml:space="preserve">and defining the canonical field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the quadratic action for the comoving curvature perturbation</w:t>
      </w:r>
      <w:r>
        <w:t xml:space="preserve"> </w:t>
      </w:r>
      <m:oMath>
        <m:r>
          <m:rPr>
            <m:scr m:val="script"/>
            <m:sty m:val="p"/>
          </m:rPr>
          <m:t>R</m:t>
        </m:r>
      </m:oMath>
      <w:r>
        <w:t xml:space="preserve"> </w:t>
      </w:r>
      <w:r>
        <w:t xml:space="preserve">takes the standard form</w:t>
      </w:r>
    </w:p>
    <w:p>
      <w:pPr>
        <w:pStyle w:val="BodyText"/>
      </w:pPr>
      <m:oMathPara>
        <m:oMathParaPr>
          <m:jc m:val="center"/>
        </m:oMathParaPr>
        <m:oMath>
          <m:sSup>
            <m:e>
              <m:r>
                <m:t>S</m:t>
              </m:r>
            </m:e>
            <m:sup>
              <m:r>
                <m:rPr>
                  <m:sty m:val="p"/>
                </m:rPr>
                <m:t>(</m:t>
              </m:r>
              <m:r>
                <m:t>2</m:t>
              </m:r>
              <m:r>
                <m:rPr>
                  <m:sty m:val="p"/>
                </m:rPr>
                <m:t>)</m:t>
              </m:r>
            </m:sup>
          </m:sSup>
          <m:r>
            <m:rPr>
              <m:sty m:val="p"/>
            </m:rPr>
            <m:t>=</m:t>
          </m:r>
          <m:r>
            <m:rPr>
              <m:sty m:val="p"/>
            </m:rPr>
            <m:t>∫</m:t>
          </m:r>
          <m:r>
            <m:t>d</m:t>
          </m:r>
          <m:r>
            <m:t>t</m:t>
          </m:r>
          <m:r>
            <m:t> </m:t>
          </m:r>
          <m:sSup>
            <m:e>
              <m:r>
                <m:t>d</m:t>
              </m:r>
            </m:e>
            <m:sup>
              <m:r>
                <m:t>3</m:t>
              </m:r>
            </m:sup>
          </m:sSup>
          <m:r>
            <m:t>x</m:t>
          </m:r>
          <m:r>
            <m:t> </m:t>
          </m:r>
          <m:sSup>
            <m:e>
              <m:r>
                <m:t>a</m:t>
              </m:r>
            </m:e>
            <m:sup>
              <m:r>
                <m:t>3</m:t>
              </m:r>
            </m:sup>
          </m:sSup>
          <m:d>
            <m:dPr>
              <m:begChr m:val="["/>
              <m:sepChr m:val=""/>
              <m:endChr m:val="]"/>
              <m:grow/>
            </m:dPr>
            <m:e>
              <m:sSub>
                <m:e>
                  <m:r>
                    <m:rPr>
                      <m:scr m:val="script"/>
                      <m:sty m:val="p"/>
                    </m:rPr>
                    <m:t>G</m:t>
                  </m:r>
                </m:e>
                <m:sub>
                  <m:r>
                    <m:t>s</m:t>
                  </m:r>
                </m:sub>
              </m:sSub>
              <m:sSup>
                <m:e>
                  <m:acc>
                    <m:accPr>
                      <m:chr m:val="̇"/>
                    </m:accPr>
                    <m:e>
                      <m:r>
                        <m:rPr>
                          <m:scr m:val="script"/>
                          <m:sty m:val="p"/>
                        </m:rPr>
                        <m:t>R</m:t>
                      </m:r>
                    </m:e>
                  </m:acc>
                </m:e>
                <m:sup>
                  <m:r>
                    <m:t>2</m:t>
                  </m:r>
                </m:sup>
              </m:sSup>
              <m:r>
                <m:rPr>
                  <m:sty m:val="p"/>
                </m:rPr>
                <m:t>−</m:t>
              </m:r>
              <m:f>
                <m:fPr>
                  <m:type m:val="bar"/>
                </m:fPr>
                <m:num>
                  <m:sSub>
                    <m:e>
                      <m:r>
                        <m:rPr>
                          <m:scr m:val="script"/>
                          <m:sty m:val="p"/>
                        </m:rPr>
                        <m:t>F</m:t>
                      </m:r>
                    </m:e>
                    <m:sub>
                      <m:r>
                        <m:t>s</m:t>
                      </m:r>
                    </m:sub>
                  </m:sSub>
                </m:num>
                <m:den>
                  <m:sSup>
                    <m:e>
                      <m:r>
                        <m:t>a</m:t>
                      </m:r>
                    </m:e>
                    <m:sup>
                      <m:r>
                        <m:t>2</m:t>
                      </m:r>
                    </m:sup>
                  </m:sSup>
                </m:den>
              </m:f>
              <m:r>
                <m:rPr>
                  <m:sty m:val="p"/>
                </m:rPr>
                <m:t>(</m:t>
              </m:r>
              <m:r>
                <m:rPr>
                  <m:sty m:val="p"/>
                </m:rPr>
                <m:t>∇</m:t>
              </m:r>
              <m:r>
                <m:rPr>
                  <m:scr m:val="script"/>
                  <m:sty m:val="p"/>
                </m:rPr>
                <m:t>R</m:t>
              </m:r>
              <m:sSup>
                <m:e>
                  <m:r>
                    <m:rPr>
                      <m:sty m:val="p"/>
                    </m:rPr>
                    <m:t>)</m:t>
                  </m:r>
                </m:e>
                <m:sup>
                  <m:r>
                    <m:t>2</m:t>
                  </m:r>
                </m:sup>
              </m:sSup>
            </m:e>
          </m:d>
          <m:r>
            <m:rPr>
              <m:sty m:val="p"/>
            </m:rPr>
            <m:t>,</m:t>
          </m:r>
        </m:oMath>
      </m:oMathPara>
    </w:p>
    <w:p>
      <w:pPr>
        <w:pStyle w:val="FirstParagraph"/>
      </w:pPr>
      <w:r>
        <w:t xml:space="preserve">where (after straightforward algebra in ADM variables)</w:t>
      </w:r>
    </w:p>
    <w:p>
      <w:pPr>
        <w:pStyle w:val="BodyText"/>
      </w:pPr>
      <m:oMathPara>
        <m:oMathParaPr>
          <m:jc m:val="center"/>
        </m:oMathParaPr>
        <m:oMath>
          <m:sSub>
            <m:e>
              <m:r>
                <m:rPr>
                  <m:scr m:val="script"/>
                  <m:sty m:val="p"/>
                </m:rPr>
                <m:t>G</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G</m:t>
                  </m:r>
                </m:sub>
              </m:sSub>
            </m:e>
          </m:d>
          <m:r>
            <m:rPr>
              <m:sty m:val="p"/>
            </m:rPr>
            <m:t>,</m:t>
          </m:r>
          <m:r>
            <m:t>  </m:t>
          </m:r>
          <m:sSub>
            <m:e>
              <m:r>
                <m:rPr>
                  <m:scr m:val="script"/>
                  <m:sty m:val="p"/>
                </m:rPr>
                <m:t>F</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F</m:t>
                  </m:r>
                </m:sub>
              </m:sSub>
            </m:e>
          </m:d>
          <m:r>
            <m:rPr>
              <m:sty m:val="p"/>
            </m:rPr>
            <m:t>,</m:t>
          </m:r>
        </m:oMath>
      </m:oMathPara>
    </w:p>
    <w:p>
      <w:pPr>
        <w:pStyle w:val="FirstParagraph"/>
      </w:pPr>
      <w:r>
        <w:t xml:space="preserve">with</w:t>
      </w:r>
      <w:r>
        <w:t xml:space="preserve"> </w:t>
      </w:r>
      <m:oMath>
        <m:sSub>
          <m:e>
            <m:r>
              <m:rPr>
                <m:sty m:val="p"/>
              </m:rPr>
              <m:t>Δ</m:t>
            </m:r>
          </m:e>
          <m:sub>
            <m:r>
              <m:t>G</m:t>
            </m:r>
            <m:r>
              <m:rPr>
                <m:sty m:val="p"/>
              </m:rPr>
              <m:t>,</m:t>
            </m:r>
            <m:r>
              <m:t>F</m:t>
            </m:r>
          </m:sub>
        </m:sSub>
      </m:oMath>
      <w:r>
        <w:t xml:space="preserve"> </w:t>
      </w:r>
      <w:r>
        <w:t xml:space="preserve">depending on</w:t>
      </w:r>
      <w:r>
        <w:t xml:space="preserve"> </w:t>
      </w:r>
      <m:oMath>
        <m:r>
          <m:t>F</m:t>
        </m:r>
      </m:oMath>
      <w:r>
        <w:t xml:space="preserve">,</w:t>
      </w:r>
      <w:r>
        <w:t xml:space="preserve"> </w:t>
      </w:r>
      <m:oMath>
        <m:r>
          <m:t>K</m:t>
        </m:r>
      </m:oMath>
      <w:r>
        <w:t xml:space="preserve"> </w:t>
      </w:r>
      <w:r>
        <w:t xml:space="preserve">and their derivatives (full expressions are provided in the ancillary exttt</w:t>
      </w:r>
      <w:r>
        <w:t xml:space="preserve">Mathematica</w:t>
      </w:r>
      <w:r>
        <w:t xml:space="preserve"> </w:t>
      </w:r>
      <w:r>
        <w:t xml:space="preserve">notebook). The no-ghost and gradient-stability conditions,</w:t>
      </w:r>
    </w:p>
    <w:p>
      <w:pPr>
        <w:pStyle w:val="BodyText"/>
      </w:pPr>
      <m:oMathPara>
        <m:oMathParaPr>
          <m:jc m:val="center"/>
        </m:oMathParaPr>
        <m:oMath>
          <m:sSub>
            <m:e>
              <m:r>
                <m:rPr>
                  <m:scr m:val="script"/>
                  <m:sty m:val="p"/>
                </m:rPr>
                <m:t>G</m:t>
              </m:r>
            </m:e>
            <m:sub>
              <m:r>
                <m:t>s</m:t>
              </m:r>
            </m:sub>
          </m:sSub>
          <m:r>
            <m:rPr>
              <m:sty m:val="p"/>
            </m:rPr>
            <m:t>&gt;</m:t>
          </m:r>
          <m:r>
            <m:t>0</m:t>
          </m:r>
          <m:r>
            <m:rPr>
              <m:sty m:val="p"/>
            </m:rPr>
            <m:t>,</m:t>
          </m:r>
          <m:r>
            <m:t>  </m:t>
          </m:r>
          <m:sSubSup>
            <m:e>
              <m:r>
                <m:t>c</m:t>
              </m:r>
            </m:e>
            <m:sub>
              <m:r>
                <m:t>s</m:t>
              </m:r>
            </m:sub>
            <m:sup>
              <m:r>
                <m:t>2</m:t>
              </m:r>
            </m:sup>
          </m:sSubSup>
          <m:r>
            <m:rPr>
              <m:sty m:val="p"/>
            </m:rPr>
            <m:t>≡</m:t>
          </m:r>
          <m:f>
            <m:fPr>
              <m:type m:val="bar"/>
            </m:fPr>
            <m:num>
              <m:sSub>
                <m:e>
                  <m:r>
                    <m:rPr>
                      <m:scr m:val="script"/>
                      <m:sty m:val="p"/>
                    </m:rPr>
                    <m:t>F</m:t>
                  </m:r>
                </m:e>
                <m:sub>
                  <m:r>
                    <m:t>s</m:t>
                  </m:r>
                </m:sub>
              </m:sSub>
            </m:num>
            <m:den>
              <m:sSub>
                <m:e>
                  <m:r>
                    <m:rPr>
                      <m:scr m:val="script"/>
                      <m:sty m:val="p"/>
                    </m:rPr>
                    <m:t>G</m:t>
                  </m:r>
                </m:e>
                <m:sub>
                  <m:r>
                    <m:t>s</m:t>
                  </m:r>
                </m:sub>
              </m:sSub>
            </m:den>
          </m:f>
          <m:r>
            <m:rPr>
              <m:sty m:val="p"/>
            </m:rPr>
            <m:t>&gt;</m:t>
          </m:r>
          <m:r>
            <m:t>0</m:t>
          </m:r>
          <m:r>
            <m:rPr>
              <m:sty m:val="p"/>
            </m:rPr>
            <m:t>,</m:t>
          </m:r>
        </m:oMath>
      </m:oMathPara>
    </w:p>
    <w:p>
      <w:pPr>
        <w:pStyle w:val="FirstParagraph"/>
      </w:pPr>
      <w:r>
        <w:t xml:space="preserve">are satisfied across the posterior region explored in Sec. </w:t>
      </w:r>
      <w:hyperlink w:anchor="sec:inflationary-observables">
        <w:r>
          <w:rPr>
            <w:rStyle w:val="Hyperlink"/>
          </w:rPr>
          <w:t xml:space="preserve">4</w:t>
        </w:r>
      </w:hyperlink>
      <w:r>
        <w:t xml:space="preserve">. For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sSub>
          <m:e>
            <m:r>
              <m:t>M</m:t>
            </m:r>
          </m:e>
          <m:sub>
            <m:r>
              <m:rPr>
                <m:sty m:val="p"/>
              </m:rPr>
              <m:t>P</m:t>
            </m:r>
            <m:r>
              <m:rPr>
                <m:sty m:val="p"/>
              </m:rPr>
              <m:t>l</m:t>
            </m:r>
          </m:sub>
        </m:sSub>
        <m:r>
          <m:rPr>
            <m:sty m:val="p"/>
          </m:rPr>
          <m:t>,</m:t>
        </m:r>
        <m:r>
          <m:t>5</m:t>
        </m:r>
        <m:sSub>
          <m:e>
            <m:r>
              <m:t>M</m:t>
            </m:r>
          </m:e>
          <m:sub>
            <m:r>
              <m:rPr>
                <m:sty m:val="p"/>
              </m:rPr>
              <m:t>P</m:t>
            </m:r>
            <m:r>
              <m:rPr>
                <m:sty m:val="p"/>
              </m:rPr>
              <m:t>l</m:t>
            </m:r>
          </m:sub>
        </m:sSub>
        <m:r>
          <m:rPr>
            <m:sty m:val="p"/>
          </m:rPr>
          <m:t>)</m:t>
        </m:r>
      </m:oMath>
      <w:r>
        <w:t xml:space="preserve"> </w:t>
      </w:r>
      <w:r>
        <w:t xml:space="preserve">we find</w:t>
      </w:r>
      <w:r>
        <w:t xml:space="preserve"> </w:t>
      </w:r>
      <m:oMath>
        <m:sSub>
          <m:e>
            <m:r>
              <m:rPr>
                <m:scr m:val="script"/>
                <m:sty m:val="p"/>
              </m:rPr>
              <m:t>G</m:t>
            </m:r>
          </m:e>
          <m:sub>
            <m:r>
              <m:t>s</m:t>
            </m:r>
          </m:sub>
        </m:sSub>
        <m:r>
          <m:rPr>
            <m:sty m:val="p"/>
          </m:rPr>
          <m:t>&gt;</m:t>
        </m:r>
        <m:r>
          <m:t>0</m:t>
        </m:r>
      </m:oMath>
      <w:r>
        <w:t xml:space="preserve"> </w:t>
      </w:r>
      <w:r>
        <w:t xml:space="preserve">and</w:t>
      </w:r>
      <w:r>
        <w:t xml:space="preserve"> </w:t>
      </w:r>
      <m:oMath>
        <m:sSubSup>
          <m:e>
            <m:r>
              <m:t>c</m:t>
            </m:r>
          </m:e>
          <m:sub>
            <m:r>
              <m:t>s</m:t>
            </m:r>
          </m:sub>
          <m:sup>
            <m:r>
              <m:t>2</m:t>
            </m:r>
          </m:sup>
        </m:sSubSup>
        <m:r>
          <m:rPr>
            <m:sty m:val="p"/>
          </m:rPr>
          <m:t>≳</m:t>
        </m:r>
        <m:r>
          <m:t>0.1</m:t>
        </m:r>
      </m:oMath>
      <w:r>
        <w:t xml:space="preserve"> </w:t>
      </w:r>
      <w:r>
        <w:t xml:space="preserve">throughout the inflationary trajectory, while</w:t>
      </w:r>
      <w:r>
        <w:t xml:space="preserve"> </w:t>
      </w:r>
      <m:oMath>
        <m:r>
          <m:t>F</m:t>
        </m:r>
        <m:r>
          <m:rPr>
            <m:sty m:val="p"/>
          </m:rPr>
          <m:t>(</m:t>
        </m:r>
        <m:r>
          <m:t>χ</m:t>
        </m:r>
        <m:r>
          <m:rPr>
            <m:sty m:val="p"/>
          </m:rPr>
          <m:t>)</m:t>
        </m:r>
        <m:r>
          <m:rPr>
            <m:sty m:val="p"/>
          </m:rPr>
          <m:t>&gt;</m:t>
        </m:r>
        <m:r>
          <m:t>0</m:t>
        </m:r>
      </m:oMath>
      <w:r>
        <w:t xml:space="preserve"> </w:t>
      </w:r>
      <w:r>
        <w:t xml:space="preserve">is automatically enforced by the prior bounds. Following the standard estimate for non-minimal models we also verify the EFT hierarchy</w:t>
      </w:r>
      <w:r>
        <w:t xml:space="preserve"> </w:t>
      </w:r>
      <m:oMath>
        <m:sSub>
          <m:e>
            <m:r>
              <m:rPr>
                <m:sty m:val="p"/>
              </m:rPr>
              <m:t>Λ</m:t>
            </m:r>
          </m:e>
          <m:sub>
            <m:r>
              <m:rPr>
                <m:sty m:val="p"/>
              </m:rPr>
              <m:t>c</m:t>
            </m:r>
            <m:r>
              <m:rPr>
                <m:sty m:val="p"/>
              </m:rPr>
              <m:t>u</m:t>
            </m:r>
            <m:r>
              <m:rPr>
                <m:sty m:val="p"/>
              </m:rPr>
              <m:t>t</m:t>
            </m:r>
            <m:r>
              <m:rPr>
                <m:sty m:val="p"/>
              </m:rPr>
              <m:t>o</m:t>
            </m:r>
            <m:r>
              <m:rPr>
                <m:sty m:val="p"/>
              </m:rPr>
              <m:t>f</m:t>
            </m:r>
            <m:r>
              <m:rPr>
                <m:sty m:val="p"/>
              </m:rPr>
              <m:t>f</m:t>
            </m:r>
          </m:sub>
        </m:sSub>
        <m:r>
          <m:rPr>
            <m:sty m:val="p"/>
          </m:rPr>
          <m:t>≳</m:t>
        </m:r>
        <m:r>
          <m:t>10</m:t>
        </m:r>
        <m:sSub>
          <m:e>
            <m:r>
              <m:t>H</m:t>
            </m:r>
          </m:e>
          <m:sub>
            <m:r>
              <m:rPr>
                <m:sty m:val="p"/>
              </m:rPr>
              <m:t>i</m:t>
            </m:r>
            <m:r>
              <m:rPr>
                <m:sty m:val="p"/>
              </m:rPr>
              <m:t>n</m:t>
            </m:r>
            <m:r>
              <m:rPr>
                <m:sty m:val="p"/>
              </m:rPr>
              <m:t>f</m:t>
            </m:r>
          </m:sub>
        </m:sSub>
      </m:oMath>
      <w:r>
        <w:t xml:space="preserve">, ensuring that the single-field description remains controlled.</w:t>
      </w:r>
    </w:p>
    <w:bookmarkEnd w:id="18"/>
    <w:bookmarkStart w:id="19" w:name="frg-inspired-scale-identification"/>
    <w:p>
      <w:pPr>
        <w:pStyle w:val="Heading1"/>
      </w:pPr>
      <w:r>
        <w:t xml:space="preserve">FRG-inspired scale identification</w:t>
      </w:r>
    </w:p>
    <w:p>
      <w:pPr>
        <w:pStyle w:val="FirstParagraph"/>
      </w:pPr>
      <w:r>
        <w:t xml:space="preserve">To illustrate how threshold effects in functional renormalization-group flows can map onto the</w:t>
      </w:r>
      <w:r>
        <w:t xml:space="preserve"> </w:t>
      </w:r>
      <m:oMath>
        <m:r>
          <m:t>F</m:t>
        </m:r>
        <m:r>
          <m:rPr>
            <m:sty m:val="p"/>
          </m:rPr>
          <m:t>(</m:t>
        </m:r>
        <m:r>
          <m:t>χ</m:t>
        </m:r>
        <m:r>
          <m:rPr>
            <m:sty m:val="p"/>
          </m:rPr>
          <m:t>)</m:t>
        </m:r>
      </m:oMath>
      <w:r>
        <w:t xml:space="preserve"> </w:t>
      </w:r>
      <w:r>
        <w:t xml:space="preserve">ansatz, we consider a toy running Newton coupling</w:t>
      </w:r>
    </w:p>
    <w:p>
      <w:pPr>
        <w:pStyle w:val="BodyText"/>
      </w:pPr>
      <m:oMathPara>
        <m:oMathParaPr>
          <m:jc m:val="center"/>
        </m:oMathParaPr>
        <m:oMath>
          <m:r>
            <m:t>G</m:t>
          </m:r>
          <m:r>
            <m:rPr>
              <m:sty m:val="p"/>
            </m:rPr>
            <m:t>(</m:t>
          </m:r>
          <m:r>
            <m:t>k</m:t>
          </m:r>
          <m:r>
            <m:rPr>
              <m:sty m:val="p"/>
            </m:rPr>
            <m:t>)</m:t>
          </m:r>
          <m:r>
            <m:rPr>
              <m:sty m:val="p"/>
            </m:rPr>
            <m:t>=</m:t>
          </m:r>
          <m:f>
            <m:fPr>
              <m:type m:val="bar"/>
            </m:fPr>
            <m:num>
              <m:sSub>
                <m:e>
                  <m:r>
                    <m:t>G</m:t>
                  </m:r>
                </m:e>
                <m:sub>
                  <m:r>
                    <m:t>0</m:t>
                  </m:r>
                </m:sub>
              </m:sSub>
            </m:num>
            <m:den>
              <m:r>
                <m:t>1</m:t>
              </m:r>
              <m:r>
                <m:rPr>
                  <m:sty m:val="p"/>
                </m:rPr>
                <m:t>+</m:t>
              </m:r>
              <m:r>
                <m:t>ω</m:t>
              </m:r>
              <m:sSup>
                <m:e>
                  <m:r>
                    <m:t>k</m:t>
                  </m:r>
                </m:e>
                <m:sup>
                  <m:r>
                    <m:t>2</m:t>
                  </m:r>
                </m:sup>
              </m:sSup>
            </m:den>
          </m:f>
          <m:r>
            <m:rPr>
              <m:sty m:val="p"/>
            </m:rPr>
            <m:t>,</m:t>
          </m:r>
        </m:oMath>
      </m:oMathPara>
    </w:p>
    <w:p>
      <w:pPr>
        <w:pStyle w:val="FirstParagraph"/>
      </w:pPr>
      <w:r>
        <w:t xml:space="preserve">with</w:t>
      </w:r>
      <w:r>
        <w:t xml:space="preserve"> </w:t>
      </w:r>
      <m:oMath>
        <m:r>
          <m:t>ω</m:t>
        </m:r>
        <m:r>
          <m:rPr>
            <m:sty m:val="p"/>
          </m:rPr>
          <m:t>&gt;</m:t>
        </m:r>
        <m:r>
          <m:t>0</m:t>
        </m:r>
      </m:oMath>
      <w:r>
        <w:t xml:space="preserve">. Identifying the RG scale with a curvature-related quantity,</w:t>
      </w:r>
      <w:r>
        <w:t xml:space="preserve"> </w:t>
      </w:r>
      <m:oMath>
        <m:r>
          <m:t>k</m:t>
        </m:r>
        <m:r>
          <m:rPr>
            <m:sty m:val="p"/>
          </m:rPr>
          <m:t>(</m:t>
        </m:r>
        <m:r>
          <m:t>χ</m:t>
        </m:r>
        <m:r>
          <m:rPr>
            <m:sty m:val="p"/>
          </m:rPr>
          <m:t>)</m:t>
        </m:r>
        <m:r>
          <m:rPr>
            <m:sty m:val="p"/>
          </m:rPr>
          <m:t>=</m:t>
        </m:r>
        <m:r>
          <m:t>ζ</m:t>
        </m:r>
        <m:r>
          <m:t>H</m:t>
        </m:r>
        <m:r>
          <m:rPr>
            <m:sty m:val="p"/>
          </m:rPr>
          <m:t>(</m:t>
        </m:r>
        <m:r>
          <m:t>χ</m:t>
        </m:r>
        <m:r>
          <m:rPr>
            <m:sty m:val="p"/>
          </m:rPr>
          <m:t>)</m:t>
        </m:r>
        <m:r>
          <m:rPr>
            <m:sty m:val="p"/>
          </m:rPr>
          <m:t>≃</m:t>
        </m:r>
        <m:r>
          <m:t>ζ</m:t>
        </m:r>
        <m:rad>
          <m:radPr>
            <m:degHide m:val="on"/>
          </m:radPr>
          <m:deg/>
          <m:e>
            <m:r>
              <m:t>U</m:t>
            </m:r>
            <m:r>
              <m:rPr>
                <m:sty m:val="p"/>
              </m:rPr>
              <m:t>(</m:t>
            </m:r>
            <m:r>
              <m:t>χ</m:t>
            </m:r>
            <m:r>
              <m:rPr>
                <m:sty m:val="p"/>
              </m:rPr>
              <m:t>)</m:t>
            </m:r>
            <m:r>
              <m:rPr>
                <m:sty m:val="p"/>
              </m:rPr>
              <m:t>/</m:t>
            </m:r>
            <m:r>
              <m:rPr>
                <m:sty m:val="p"/>
              </m:rPr>
              <m:t>(</m:t>
            </m:r>
            <m:r>
              <m:t>3</m:t>
            </m:r>
            <m:sSubSup>
              <m:e>
                <m:r>
                  <m:t>M</m:t>
                </m:r>
              </m:e>
              <m:sub>
                <m:r>
                  <m:rPr>
                    <m:sty m:val="p"/>
                  </m:rPr>
                  <m:t>P</m:t>
                </m:r>
                <m:r>
                  <m:rPr>
                    <m:sty m:val="p"/>
                  </m:rPr>
                  <m:t>l</m:t>
                </m:r>
              </m:sub>
              <m:sup>
                <m:r>
                  <m:t>2</m:t>
                </m:r>
              </m:sup>
            </m:sSubSup>
            <m:r>
              <m:rPr>
                <m:sty m:val="p"/>
              </m:rPr>
              <m:t>)</m:t>
            </m:r>
          </m:e>
        </m:rad>
      </m:oMath>
      <w:r>
        <w:t xml:space="preserve"> </w:t>
      </w:r>
      <w:r>
        <w:t xml:space="preserve">for</w:t>
      </w:r>
      <w:r>
        <w:t xml:space="preserve"> </w:t>
      </w:r>
      <m:oMath>
        <m:r>
          <m:t>ζ</m:t>
        </m:r>
        <m:r>
          <m:rPr>
            <m:sty m:val="p"/>
          </m:rPr>
          <m:t>∼</m:t>
        </m:r>
        <m:r>
          <m:rPr>
            <m:scr m:val="script"/>
            <m:sty m:val="p"/>
          </m:rPr>
          <m:t>O</m:t>
        </m:r>
        <m:r>
          <m:rPr>
            <m:sty m:val="p"/>
          </m:rPr>
          <m:t>(</m:t>
        </m:r>
        <m:r>
          <m:t>1</m:t>
        </m:r>
        <m:r>
          <m:rPr>
            <m:sty m:val="p"/>
          </m:rPr>
          <m:t>)</m:t>
        </m:r>
      </m:oMath>
      <w:r>
        <w:t xml:space="preserve">, yields</w:t>
      </w:r>
    </w:p>
    <w:p>
      <w:pPr>
        <w:pStyle w:val="BodyText"/>
      </w:pPr>
      <m:oMathPara>
        <m:oMathParaPr>
          <m:jc m:val="center"/>
        </m:oMathParaPr>
        <m:oMath>
          <m:r>
            <m:t>G</m:t>
          </m:r>
          <m:r>
            <m:rPr>
              <m:sty m:val="p"/>
            </m:rPr>
            <m:t>(</m:t>
          </m:r>
          <m:r>
            <m:t>χ</m:t>
          </m:r>
          <m:r>
            <m:rPr>
              <m:sty m:val="p"/>
            </m:rPr>
            <m:t>)</m:t>
          </m:r>
          <m:r>
            <m:rPr>
              <m:sty m:val="p"/>
            </m:rPr>
            <m:t>=</m:t>
          </m:r>
          <m:f>
            <m:fPr>
              <m:type m:val="bar"/>
            </m:fPr>
            <m:num>
              <m:sSub>
                <m:e>
                  <m:r>
                    <m:t>G</m:t>
                  </m:r>
                </m:e>
                <m:sub>
                  <m:r>
                    <m:t>0</m:t>
                  </m:r>
                </m:sub>
              </m:sSub>
            </m:num>
            <m:den>
              <m:r>
                <m:t>1</m:t>
              </m:r>
              <m:r>
                <m:rPr>
                  <m:sty m:val="p"/>
                </m:rPr>
                <m:t>+</m:t>
              </m:r>
              <m:r>
                <m:t>ω</m:t>
              </m:r>
              <m:sSup>
                <m:e>
                  <m:r>
                    <m:t>ζ</m:t>
                  </m:r>
                </m:e>
                <m:sup>
                  <m:r>
                    <m:t>2</m:t>
                  </m:r>
                </m:sup>
              </m:sSup>
              <m:r>
                <m:t>H</m:t>
              </m:r>
              <m:r>
                <m:rPr>
                  <m:sty m:val="p"/>
                </m:rPr>
                <m:t>(</m:t>
              </m:r>
              <m:r>
                <m:t>χ</m:t>
              </m:r>
              <m:sSup>
                <m:e>
                  <m:r>
                    <m:rPr>
                      <m:sty m:val="p"/>
                    </m:rPr>
                    <m:t>)</m:t>
                  </m:r>
                </m:e>
                <m:sup>
                  <m:r>
                    <m:t>2</m:t>
                  </m:r>
                </m:sup>
              </m:sSup>
            </m:den>
          </m:f>
          <m:r>
            <m:rPr>
              <m:sty m:val="p"/>
            </m:rPr>
            <m:t>.</m:t>
          </m:r>
        </m:oMath>
      </m:oMathPara>
    </w:p>
    <w:p>
      <w:pPr>
        <w:pStyle w:val="FirstParagraph"/>
      </w:pPr>
      <w:r>
        <w:t xml:space="preserve">Expanding around the threshold position</w:t>
      </w:r>
      <w:r>
        <w:t xml:space="preserve"> </w:t>
      </w:r>
      <m:oMath>
        <m:sSub>
          <m:e>
            <m:r>
              <m:t>χ</m:t>
            </m:r>
          </m:e>
          <m:sub>
            <m:r>
              <m:t>0</m:t>
            </m:r>
          </m:sub>
        </m:sSub>
      </m:oMath>
      <w:r>
        <w:t xml:space="preserve"> </w:t>
      </w:r>
      <w:r>
        <w:t xml:space="preserve">produces to leading order a Gaussian-like feature,</w:t>
      </w:r>
    </w:p>
    <w:p>
      <w:pPr>
        <w:pStyle w:val="BodyText"/>
      </w:pPr>
      <m:oMathPara>
        <m:oMathParaPr>
          <m:jc m:val="center"/>
        </m:oMathParaPr>
        <m:oMath>
          <m:r>
            <m:t>G</m:t>
          </m:r>
          <m:r>
            <m:rPr>
              <m:sty m:val="p"/>
            </m:rPr>
            <m:t>(</m:t>
          </m:r>
          <m:r>
            <m:t>χ</m:t>
          </m:r>
          <m:r>
            <m:rPr>
              <m:sty m:val="p"/>
            </m:rPr>
            <m:t>)</m:t>
          </m:r>
          <m:r>
            <m:rPr>
              <m:sty m:val="p"/>
            </m:rPr>
            <m:t>≃</m:t>
          </m:r>
          <m:sSub>
            <m:e>
              <m:r>
                <m:t>G</m:t>
              </m:r>
            </m:e>
            <m:sub>
              <m:r>
                <m:t>0</m:t>
              </m:r>
            </m:sub>
          </m:sSub>
          <m:sSup>
            <m:e>
              <m:d>
                <m:dPr>
                  <m:begChr m:val="["/>
                  <m:sepChr m:val=""/>
                  <m:endChr m:val="]"/>
                  <m:grow/>
                </m:dPr>
                <m:e>
                  <m:r>
                    <m:t>1</m:t>
                  </m:r>
                  <m:r>
                    <m:rPr>
                      <m:sty m:val="p"/>
                    </m:rPr>
                    <m:t>+</m:t>
                  </m:r>
                  <m:acc>
                    <m:accPr>
                      <m:chr m:val="̃"/>
                    </m:accPr>
                    <m:e>
                      <m:r>
                        <m:t>β</m:t>
                      </m:r>
                    </m:e>
                  </m:acc>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acc>
                                <m:accPr>
                                  <m:chr m:val="̃"/>
                                </m:accPr>
                                <m:e>
                                  <m:r>
                                    <m:rPr>
                                      <m:sty m:val="p"/>
                                    </m:rPr>
                                    <m:t>Δ</m:t>
                                  </m:r>
                                </m:e>
                              </m:acc>
                            </m:e>
                            <m:sup>
                              <m:r>
                                <m:t>2</m:t>
                              </m:r>
                            </m:sup>
                          </m:sSup>
                        </m:den>
                      </m:f>
                    </m:e>
                  </m:d>
                </m:e>
              </m:d>
            </m:e>
            <m:sup>
              <m:r>
                <m:rPr>
                  <m:sty m:val="p"/>
                </m:rPr>
                <m:t>−</m:t>
              </m:r>
              <m:r>
                <m:t>1</m:t>
              </m:r>
            </m:sup>
          </m:sSup>
          <m:r>
            <m:rPr>
              <m:sty m:val="p"/>
            </m:rPr>
            <m:t>,</m:t>
          </m:r>
        </m:oMath>
      </m:oMathPara>
    </w:p>
    <w:p>
      <w:pPr>
        <w:pStyle w:val="FirstParagraph"/>
      </w:pPr>
      <w:r>
        <w:t xml:space="preserve">which maps onto the phenomenological choice</w:t>
      </w:r>
      <w:r>
        <w:t xml:space="preserve"> </w:t>
      </w:r>
      <m:oMath>
        <m:r>
          <m:t>F</m:t>
        </m:r>
        <m:r>
          <m:rPr>
            <m:sty m:val="p"/>
          </m:rPr>
          <m:t>(</m:t>
        </m:r>
        <m:r>
          <m:t>χ</m:t>
        </m:r>
        <m:r>
          <m:rPr>
            <m:sty m:val="p"/>
          </m:rPr>
          <m:t>)</m:t>
        </m:r>
        <m:r>
          <m:rPr>
            <m:sty m:val="p"/>
          </m:rPr>
          <m:t>=</m:t>
        </m:r>
        <m:sSubSup>
          <m:e>
            <m:r>
              <m:t>M</m:t>
            </m:r>
          </m:e>
          <m:sub>
            <m:r>
              <m:rPr>
                <m:sty m:val="p"/>
              </m:rPr>
              <m:t>P</m:t>
            </m:r>
            <m:r>
              <m:rPr>
                <m:sty m:val="p"/>
              </m:rPr>
              <m:t>l</m:t>
            </m:r>
          </m:sub>
          <m:sup>
            <m:r>
              <m:t>2</m:t>
            </m:r>
          </m:sup>
        </m:sSubSup>
        <m:d>
          <m:dPr>
            <m:begChr m:val="["/>
            <m:sepChr m:val=""/>
            <m:endChr m:val="]"/>
            <m:grow/>
          </m:dPr>
          <m:e>
            <m:r>
              <m:t>1</m:t>
            </m:r>
            <m:r>
              <m:rPr>
                <m:sty m:val="p"/>
              </m:rPr>
              <m:t>+</m:t>
            </m:r>
            <m:r>
              <m:t>β</m:t>
            </m:r>
            <m:r>
              <m:rPr>
                <m:sty m:val="p"/>
              </m:rPr>
              <m:t>exp</m:t>
            </m:r>
            <m:r>
              <m:rPr>
                <m:sty m:val="p"/>
              </m:rPr>
              <m:t>(</m:t>
            </m:r>
            <m:r>
              <m:rPr>
                <m:sty m:val="p"/>
              </m:rPr>
              <m:t>−</m:t>
            </m:r>
            <m:r>
              <m:rPr>
                <m:sty m:val="p"/>
              </m:rPr>
              <m:t>(</m:t>
            </m:r>
            <m:r>
              <m:t>χ</m:t>
            </m:r>
            <m:r>
              <m:rPr>
                <m:sty m:val="p"/>
              </m:rPr>
              <m:t>−</m:t>
            </m:r>
            <m:sSub>
              <m:e>
                <m:r>
                  <m:t>χ</m:t>
                </m:r>
              </m:e>
              <m:sub>
                <m:r>
                  <m:t>0</m:t>
                </m:r>
              </m:sub>
            </m:sSub>
            <m:sSup>
              <m:e>
                <m:r>
                  <m:rPr>
                    <m:sty m:val="p"/>
                  </m:rPr>
                  <m:t>)</m:t>
                </m:r>
              </m:e>
              <m:sup>
                <m:r>
                  <m:t>2</m:t>
                </m:r>
              </m:sup>
            </m:sSup>
            <m:r>
              <m:rPr>
                <m:sty m:val="p"/>
              </m:rPr>
              <m:t>/</m:t>
            </m:r>
            <m:sSup>
              <m:e>
                <m:r>
                  <m:rPr>
                    <m:sty m:val="p"/>
                  </m:rPr>
                  <m:t>Δ</m:t>
                </m:r>
              </m:e>
              <m:sup>
                <m:r>
                  <m:t>2</m:t>
                </m:r>
              </m:sup>
            </m:sSup>
            <m:r>
              <m:rPr>
                <m:sty m:val="p"/>
              </m:rPr>
              <m:t>)</m:t>
            </m:r>
          </m:e>
        </m:d>
      </m:oMath>
      <w:r>
        <w:t xml:space="preserve"> </w:t>
      </w:r>
      <w:r>
        <w:t xml:space="preserve">after parameter redefinitions. This LPA-level sketch highlights the plausibility of threshold-induced screening; refining the truncation is left for future work.</w:t>
      </w:r>
    </w:p>
    <w:bookmarkEnd w:id="19"/>
    <w:bookmarkStart w:id="20" w:name="data-availability"/>
    <w:p>
      <w:pPr>
        <w:pStyle w:val="Heading1"/>
      </w:pPr>
      <w:r>
        <w:t xml:space="preserve">Data Availability</w:t>
      </w:r>
    </w:p>
    <w:p>
      <w:pPr>
        <w:pStyle w:val="FirstParagraph"/>
      </w:pPr>
      <w:r>
        <w:t xml:space="preserve">The MCMC chains, configuration files (.param, .ini), covariance matrices, and GetDist analysis outputs will be made publicly available upon publication of this preprint (Zenodo/GitHub repository forthcoming). This will enable full reproduction of the posterior constraints in Table </w:t>
      </w:r>
      <w:hyperlink w:anchor="tab:constraints">
        <w:r>
          <w:rPr>
            <w:rStyle w:val="Hyperlink"/>
          </w:rPr>
          <w:t xml:space="preserve">1</w:t>
        </w:r>
      </w:hyperlink>
      <w:r>
        <w:t xml:space="preserve"> </w:t>
      </w:r>
      <w:r>
        <w:t xml:space="preserve">and Figures 1–2.</w:t>
      </w:r>
    </w:p>
    <w:bookmarkEnd w:id="20"/>
    <w:bookmarkStart w:id="21" w:name="acknowledgments"/>
    <w:p>
      <w:pPr>
        <w:pStyle w:val="Heading1"/>
      </w:pPr>
      <w:r>
        <w:t xml:space="preserve">Acknowledgments</w:t>
      </w:r>
    </w:p>
    <w:p>
      <w:pPr>
        <w:pStyle w:val="FirstParagraph"/>
      </w:pPr>
      <w:r>
        <w:t xml:space="preserve">We thank the ASG community members who contributed numerical stability tests and polished the draft.</w:t>
      </w:r>
    </w:p>
    <w:p>
      <w:pPr>
        <w:pStyle w:val="BodyText"/>
      </w:pPr>
      <w:r>
        <w:t xml:space="preserve">99</w:t>
      </w:r>
    </w:p>
    <w:p>
      <w:pPr>
        <w:pStyle w:val="BodyText"/>
      </w:pPr>
      <w:r>
        <w:t xml:space="preserve">Planck Collaboration: N. Aghanim</w:t>
      </w:r>
      <w:r>
        <w:t xml:space="preserve"> </w:t>
      </w:r>
      <w:r>
        <w:rPr>
          <w:i/>
          <w:iCs/>
        </w:rPr>
        <w:t xml:space="preserve">et al.</w:t>
      </w:r>
      <w:r>
        <w:t xml:space="preserve">,</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w:t>
      </w:r>
      <w:r>
        <w:t xml:space="preserve"> </w:t>
      </w:r>
      <w:r>
        <w:t xml:space="preserve">arXiv:1807.06209.</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r>
        <w:t xml:space="preserve">arXiv:1311.0472.</w:t>
      </w:r>
    </w:p>
    <w:p>
      <w:pPr>
        <w:pStyle w:val="BodyText"/>
      </w:pPr>
      <w:r>
        <w:t xml:space="preserve">F. Saueressig, J. Wang, and M. Yamada,</w:t>
      </w:r>
      <w:r>
        <w:t xml:space="preserve"> </w:t>
      </w:r>
      <w:r>
        <w:t xml:space="preserve">“The Functional Renormalization Group in Quantum Gravity,”</w:t>
      </w:r>
      <w:r>
        <w:t xml:space="preserve"> </w:t>
      </w:r>
      <w:r>
        <w:t xml:space="preserve">arXiv:2302.14152.</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w:t>
      </w:r>
      <w:r>
        <w:t xml:space="preserve"> </w:t>
      </w:r>
      <w:r>
        <w:t xml:space="preserve">arXiv:hep-th/9605030.</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w:t>
      </w:r>
      <w:r>
        <w:t xml:space="preserve"> </w:t>
      </w:r>
      <w:r>
        <w:t xml:space="preserve">arXiv:gr-qc/0607039.</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Screen Gravity: Running Planck Mass as the Origin of the Inflationary Attractor</dc:title>
  <dc:creator>ASG Research Collective Primary contributors: A. Researcher^{1}, B. Theorist^{2}, C. Numerics^{3} ^{1}Institute for Theoretical Physics, University of X, City, Country ^{2}Perimeter Institute for Theoretical Physics, Waterloo, Canada ^{3}Department of Physics, Y University, Country asg.contact@research.org</dc:creator>
  <cp:keywords/>
  <dcterms:created xsi:type="dcterms:W3CDTF">2026-02-26T09:01:23Z</dcterms:created>
  <dcterms:modified xsi:type="dcterms:W3CDTF">2026-02-26T09:01:23Z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investigate an inflationary mechanism in which the attractor behaviour arises from a field-dependent Planck mass rather than from a specially tuned scalar potential. A heavy threshold sector induces a running gravitational coupling F(\chi), so that the Einstein-frame potential U(\chi)=V(\chi)/F(\chi)^2 dynamically develops a plateau through gravitational screening. Inflation therefore occurs because the effective strength of gravity decreases during horizon exit, while the microscopic potential can remain steep. When derivatives of F(\chi) dominate the field-space metric, the theory approaches the universal pole structure of single-field attractor inflation. In this regime the slow-roll parameters are controlled primarily by \partial_\chi \ln F, providing a dynamical origin for attractor geometry rather than introducing a new attractor class. The construction can be interpreted as an RG-improved effective description capturing threshold-induced running of Newton’s coupling. Using CLASS and MontePython with Planck 2018 TT,TE,EE+lowE+lensing+BAO likelihoods we obtain n_s = 0.9647 \pm 0.0041 and r = (6.2^{+2.0}_{-1.7})\times10^{-3}. Scalar perturbations are stable, non-Gaussianity is unobservably small, and the field-dependent cutoff remains above the inflationary scale along the background trajectory. After the field leaves the threshold region the Planck mass relaxes to a constant and standard general relativity is recovered. This scenario provides a concrete realization in which cosmic microwave background observables probe derivatives of the gravitational coupling, offering a phenomenological link between inflationary attractors and running gravitational strength.</vt:lpwstr>
  </property>
  <property fmtid="{D5CDD505-2E9C-101B-9397-08002B2CF9AE}" pid="3" name="date">
    <vt:lpwstr>2026-02-26</vt:lpwstr>
  </property>
</Properties>
</file>