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Abstract</w:t>
      </w:r>
    </w:p>
    <w:p>
      <w:pPr>
        <w:pStyle w:val="BodyText"/>
      </w:pPr>
      <w:r>
        <w:t xml:space="preserve">We investigate an inflationary mechanism in which the attractor</w:t>
      </w:r>
      <w:r>
        <w:t xml:space="preserve"> </w:t>
      </w:r>
      <w:r>
        <w:t xml:space="preserve">behaviour arises from a field-dependent Planck mass rather than from a</w:t>
      </w:r>
      <w:r>
        <w:t xml:space="preserve"> </w:t>
      </w:r>
      <w:r>
        <w:t xml:space="preserve">specially tuned scalar potential. A heavy threshold sector induces a</w:t>
      </w:r>
      <w:r>
        <w:t xml:space="preserve"> </w:t>
      </w:r>
      <w:r>
        <w:t xml:space="preserve">running gravitational coupling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</m:oMath>
      <w:r>
        <w:t xml:space="preserve">, so that the Einstein-frame</w:t>
      </w:r>
      <w:r>
        <w:t xml:space="preserve"> </w:t>
      </w:r>
      <w:r>
        <w:t xml:space="preserve">potential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r>
          <m:t>χ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dynamically develops a</w:t>
      </w:r>
      <w:r>
        <w:t xml:space="preserve"> </w:t>
      </w:r>
      <w:r>
        <w:t xml:space="preserve">plateau through gravitational screening. Inflation therefore occurs</w:t>
      </w:r>
      <w:r>
        <w:t xml:space="preserve"> </w:t>
      </w:r>
      <w:r>
        <w:t xml:space="preserve">because the effective strength of gravity decreases during horizon exit,</w:t>
      </w:r>
      <w:r>
        <w:t xml:space="preserve"> </w:t>
      </w:r>
      <w:r>
        <w:t xml:space="preserve">while the microscopic potential can remain steep. When derivatives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</m:oMath>
      <w:r>
        <w:t xml:space="preserve"> </w:t>
      </w:r>
      <w:r>
        <w:t xml:space="preserve">dominate the field-space metric, the theory approaches the</w:t>
      </w:r>
      <w:r>
        <w:t xml:space="preserve"> </w:t>
      </w:r>
      <w:r>
        <w:t xml:space="preserve">universal pole structure of single-field attractor inflation. In this</w:t>
      </w:r>
      <w:r>
        <w:t xml:space="preserve"> </w:t>
      </w:r>
      <w:r>
        <w:t xml:space="preserve">regime the slow-roll parameters are controlled primarily by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χ</m:t>
            </m:r>
          </m:sub>
        </m:sSub>
        <m:r>
          <m:rPr>
            <m:sty m:val="p"/>
          </m:rPr>
          <m:t>ln</m:t>
        </m:r>
        <m:r>
          <m:t>F</m:t>
        </m:r>
      </m:oMath>
      <w:r>
        <w:t xml:space="preserve">, providing a dynamical origin for attractor</w:t>
      </w:r>
      <w:r>
        <w:t xml:space="preserve"> </w:t>
      </w:r>
      <w:r>
        <w:t xml:space="preserve">geometry rather than introducing a new attractor class. The construction</w:t>
      </w:r>
      <w:r>
        <w:t xml:space="preserve"> </w:t>
      </w:r>
      <w:r>
        <w:t xml:space="preserve">can be interpreted as an RG-improved effective description capturing</w:t>
      </w:r>
      <w:r>
        <w:t xml:space="preserve"> </w:t>
      </w:r>
      <w:r>
        <w:t xml:space="preserve">threshold-induced running of Newton’s coupling. Using CLASS and</w:t>
      </w:r>
      <w:r>
        <w:t xml:space="preserve"> </w:t>
      </w:r>
      <w:r>
        <w:t xml:space="preserve">MontePython with Planck 2018 TT,TE,EE+lowE+lensing+BAO likelihoods we</w:t>
      </w:r>
      <w:r>
        <w:t xml:space="preserve"> </w:t>
      </w:r>
      <w:r>
        <w:t xml:space="preserve">obtain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0.9647</m:t>
        </m:r>
        <m:r>
          <m:rPr>
            <m:sty m:val="p"/>
          </m:rPr>
          <m:t>±</m:t>
        </m:r>
        <m:r>
          <m:t>0.0041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6.2</m:t>
            </m:r>
          </m:e>
          <m:sub>
            <m:r>
              <m:rPr>
                <m:sty m:val="p"/>
              </m:rPr>
              <m:t>−</m:t>
            </m:r>
            <m:r>
              <m:t>1.7</m:t>
            </m:r>
          </m:sub>
          <m:sup>
            <m:r>
              <m:rPr>
                <m:sty m:val="p"/>
              </m:rPr>
              <m:t>+</m:t>
            </m:r>
            <m:r>
              <m:t>2.0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. Scalar perturbations</w:t>
      </w:r>
      <w:r>
        <w:t xml:space="preserve"> </w:t>
      </w:r>
      <w:r>
        <w:t xml:space="preserve">are stable, non-Gaussianity is unobservably small, and the</w:t>
      </w:r>
      <w:r>
        <w:t xml:space="preserve"> </w:t>
      </w:r>
      <w:r>
        <w:t xml:space="preserve">field-dependent cutoff remains above the inflationary scale along the</w:t>
      </w:r>
      <w:r>
        <w:t xml:space="preserve"> </w:t>
      </w:r>
      <w:r>
        <w:t xml:space="preserve">background trajectory. After the field leaves the threshold region the</w:t>
      </w:r>
      <w:r>
        <w:t xml:space="preserve"> </w:t>
      </w:r>
      <w:r>
        <w:t xml:space="preserve">Planck mass relaxes to a constant and standard general relativity is</w:t>
      </w:r>
      <w:r>
        <w:t xml:space="preserve"> </w:t>
      </w:r>
      <w:r>
        <w:t xml:space="preserve">recovered. This scenario provides a concrete realization in which cosmic</w:t>
      </w:r>
      <w:r>
        <w:t xml:space="preserve"> </w:t>
      </w:r>
      <w:r>
        <w:t xml:space="preserve">microwave background observables probe derivatives of the gravitational</w:t>
      </w:r>
      <w:r>
        <w:t xml:space="preserve"> </w:t>
      </w:r>
      <w:r>
        <w:t xml:space="preserve">coupling, offering a phenomenological link between inflationary</w:t>
      </w:r>
      <w:r>
        <w:t xml:space="preserve"> </w:t>
      </w:r>
      <w:r>
        <w:t xml:space="preserve">attractors and running gravitational strength.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physical origin of the inflationary attractor remains unclear: in</w:t>
      </w:r>
      <w:r>
        <w:t xml:space="preserve"> </w:t>
      </w:r>
      <w:r>
        <w:t xml:space="preserve">most constructions it is attributed to a specially shaped scalar</w:t>
      </w:r>
      <w:r>
        <w:t xml:space="preserve"> </w:t>
      </w:r>
      <w:r>
        <w:t xml:space="preserve">potential, while the role of gravitational dynamics is assumed passive.</w:t>
      </w:r>
      <w:r>
        <w:t xml:space="preserve"> </w:t>
      </w:r>
      <w:r>
        <w:t xml:space="preserve">In this work we investigate an alternative possibility in which the</w:t>
      </w:r>
      <w:r>
        <w:t xml:space="preserve"> </w:t>
      </w:r>
      <w:r>
        <w:t xml:space="preserve">attractor arises from a running Planck mass, corresponding to a</w:t>
      </w:r>
      <w:r>
        <w:t xml:space="preserve"> </w:t>
      </w:r>
      <w:r>
        <w:t xml:space="preserve">temporary weakening of gravity during horizon exit rather than a</w:t>
      </w:r>
      <w:r>
        <w:t xml:space="preserve"> </w:t>
      </w:r>
      <w:r>
        <w:t xml:space="preserve">microscopic flattening of the potential. The ASG scenario posits that</w:t>
      </w:r>
      <w:r>
        <w:t xml:space="preserve"> </w:t>
      </w:r>
      <w:r>
        <w:t xml:space="preserve">threshold effects in a heavy sector feed into this running Planck mass,</w:t>
      </w:r>
      <w:r>
        <w:t xml:space="preserve"> </w:t>
      </w:r>
      <w:r>
        <w:t xml:space="preserve">flattening the scalar potential in the Einstein frame and producing a</w:t>
      </w:r>
      <w:r>
        <w:t xml:space="preserve"> </w:t>
      </w:r>
      <w:r>
        <w:t xml:space="preserve">robust prediction 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in the vicinity of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≃</m:t>
        </m:r>
        <m:r>
          <m:t>0.965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≲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 consistent with</w:t>
      </w:r>
      <w:r>
        <w:t xml:space="preserve"> </w:t>
      </w:r>
      <w:r>
        <w:t xml:space="preserve">Planck 2018 TT,TE,EE+lowE+lensing+BAO data . As with</w:t>
      </w:r>
      <w:r>
        <w:t xml:space="preserve"> </w:t>
      </w:r>
      <m:oMath>
        <m:r>
          <m:t>α</m:t>
        </m:r>
      </m:oMath>
      <w:r>
        <w:t xml:space="preserve">-attractors , the attractor behaviour is insensitive to</w:t>
      </w:r>
      <w:r>
        <w:t xml:space="preserve"> </w:t>
      </w:r>
      <w:r>
        <w:t xml:space="preserve">microphysical details provided the kinetic manifold exhibits a pole of</w:t>
      </w:r>
      <w:r>
        <w:t xml:space="preserve"> </w:t>
      </w:r>
      <w:r>
        <w:t xml:space="preserve">order two; this motivates presenting the ASG construction using</w:t>
      </w:r>
      <w:r>
        <w:t xml:space="preserve"> </w:t>
      </w:r>
      <w:r>
        <w:t xml:space="preserve">manifestly well-defined notation and citations to the existing</w:t>
      </w:r>
      <w:r>
        <w:t xml:space="preserve"> </w:t>
      </w:r>
      <w:r>
        <w:t xml:space="preserve">literature. The structure of the paper is as follows. In Sec. II we</w:t>
      </w:r>
      <w:r>
        <w:t xml:space="preserve"> </w:t>
      </w:r>
      <w:r>
        <w:t xml:space="preserve">formulate the running Planck-mass framework and derive the</w:t>
      </w:r>
      <w:r>
        <w:t xml:space="preserve"> </w:t>
      </w:r>
      <w:r>
        <w:t xml:space="preserve">Einstein-frame dynamics. Sec. III shows how the attractor behaviour</w:t>
      </w:r>
      <w:r>
        <w:t xml:space="preserve"> </w:t>
      </w:r>
      <w:r>
        <w:t xml:space="preserve">emerges from differential gravitational screening and relates it to pole</w:t>
      </w:r>
      <w:r>
        <w:t xml:space="preserve"> </w:t>
      </w:r>
      <w:r>
        <w:t xml:space="preserve">inflation geometry. In Sec. IV we compute inflationary observables and</w:t>
      </w:r>
      <w:r>
        <w:t xml:space="preserve"> </w:t>
      </w:r>
      <w:r>
        <w:t xml:space="preserve">confront the model with Planck 2018 likelihoods using CLASS and</w:t>
      </w:r>
      <w:r>
        <w:t xml:space="preserve"> </w:t>
      </w:r>
      <w:r>
        <w:t xml:space="preserve">MontePython. Sec. V analyses perturbative stability, the field-dependent</w:t>
      </w:r>
      <w:r>
        <w:t xml:space="preserve"> </w:t>
      </w:r>
      <w:r>
        <w:t xml:space="preserve">cutoff, and the recovery of standard gravity after the threshold region.</w:t>
      </w:r>
      <w:r>
        <w:t xml:space="preserve"> </w:t>
      </w:r>
      <w:r>
        <w:t xml:space="preserve">Finally, Sec. VI discusses the interpretation of the construction as an</w:t>
      </w:r>
      <w:r>
        <w:t xml:space="preserve"> </w:t>
      </w:r>
      <w:r>
        <w:t xml:space="preserve">RG-improved effective description and outlines phenomenological</w:t>
      </w:r>
      <w:r>
        <w:t xml:space="preserve"> </w:t>
      </w:r>
      <w:r>
        <w:t xml:space="preserve">implications.</w:t>
      </w:r>
    </w:p>
    <w:bookmarkEnd w:id="9"/>
    <w:bookmarkStart w:id="10" w:name="running-planck-mass-framework"/>
    <w:p>
      <w:pPr>
        <w:pStyle w:val="Heading1"/>
      </w:pPr>
      <w:r>
        <w:t xml:space="preserve">Running Planck Mass Framework</w:t>
      </w:r>
    </w:p>
    <w:p>
      <w:pPr>
        <w:pStyle w:val="FirstParagraph"/>
      </w:pPr>
      <w:r>
        <w:t xml:space="preserve">We start from the Jordan-frame action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p>
            <m:e>
              <m:r>
                <m:t>d</m:t>
              </m:r>
            </m:e>
            <m:sup>
              <m:r>
                <m:t>4</m:t>
              </m:r>
            </m:sup>
          </m:sSup>
          <m:r>
            <m:t>x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−</m:t>
              </m:r>
              <m:r>
                <m:t>g</m:t>
              </m:r>
            </m:e>
          </m:rad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χ</m:t>
              </m:r>
              <m:r>
                <m:rPr>
                  <m:sty m:val="p"/>
                </m:rPr>
                <m:t>)</m:t>
              </m:r>
              <m:r>
                <m:t>R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t>χ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χ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we take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χ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M</m:t>
              </m:r>
            </m:e>
            <m:sub>
              <m:r>
                <m:t>P</m:t>
              </m:r>
              <m:r>
                <m:t>l</m:t>
              </m:r>
            </m:sub>
            <m:sup>
              <m:r>
                <m:t>2</m:t>
              </m:r>
            </m:sup>
          </m:sSubSup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exp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χ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χ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rPr>
                              <m:sty m:val="p"/>
                            </m:rPr>
                            <m:t>Δ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  <m:r>
            <m:rPr>
              <m:sty m:val="p"/>
            </m:rPr>
            <m:t>,</m:t>
          </m:r>
          <m:r>
            <m:t> 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χ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Λ</m:t>
              </m:r>
            </m:e>
            <m:sup>
              <m:r>
                <m:t>4</m:t>
              </m:r>
            </m:sup>
          </m:sSup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χ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Transforming to the Einstein frame introduces the effective potential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r>
          <m:t>χ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a non-trivial kinetic prefactor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χ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χ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χ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χ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These expressions correct the previously reported placeholders such as</w:t>
      </w:r>
      <w:r>
        <w:t xml:space="preserve"> </w:t>
      </w:r>
      <w:r>
        <w:t xml:space="preserve">“</w:t>
      </w:r>
      <m:oMath>
        <m:r>
          <m:t>M</m:t>
        </m:r>
        <m:sSup>
          <m:e>
            <m:r>
              <m:rPr>
                <m:sty m:val="p"/>
              </m:rPr>
              <m:t>_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” and make the compile-time algebra unambiguous.</w:t>
      </w:r>
    </w:p>
    <w:bookmarkEnd w:id="10"/>
    <w:bookmarkStart w:id="11" w:name="origin-of-the-attractor"/>
    <w:p>
      <w:pPr>
        <w:pStyle w:val="Heading1"/>
      </w:pPr>
      <w:r>
        <w:t xml:space="preserve">Origin of the Attractor</w:t>
      </w:r>
    </w:p>
    <w:p>
      <w:pPr>
        <w:pStyle w:val="FirstParagraph"/>
      </w:pPr>
      <w:r>
        <w:t xml:space="preserve">The inflationary plateau arises once the Einstein-frame slope is</w:t>
      </w:r>
      <w:r>
        <w:t xml:space="preserve"> </w:t>
      </w:r>
      <w:r>
        <w:t xml:space="preserve">controlled by the differential screening between the bare potential and</w:t>
      </w:r>
      <w:r>
        <w:t xml:space="preserve"> </w:t>
      </w:r>
      <w:r>
        <w:t xml:space="preserve">the running Planck mass,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U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V</m:t>
              </m:r>
            </m:den>
          </m:f>
          <m:r>
            <m:rPr>
              <m:sty m:val="p"/>
            </m:rPr>
            <m:t>−</m:t>
          </m:r>
          <m:r>
            <m:t>2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that the attractor corresponds to the cancellation condition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V</m:t>
        </m:r>
        <m:r>
          <m:rPr>
            <m:sty m:val="p"/>
          </m:rPr>
          <m:t>≃</m:t>
        </m:r>
        <m:r>
          <m:t>2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near the threshold region. Whenever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dominates over the canonical kinetic term, the field-space metric is</w:t>
      </w:r>
      <w:r>
        <w:t xml:space="preserve"> </w:t>
      </w:r>
      <w:r>
        <w:t xml:space="preserve">pole-like,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χ</m:t>
          </m:r>
          <m:r>
            <m:rPr>
              <m:sty m:val="p"/>
            </m:rPr>
            <m:t>)</m:t>
          </m:r>
          <m:r>
            <m:rPr>
              <m:sty m:val="p"/>
            </m:rPr>
            <m:t>≃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num>
                    <m:den>
                      <m:r>
                        <m:t>F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φ</m:t>
          </m:r>
          <m:r>
            <m:rPr>
              <m:sty m:val="p"/>
            </m:rPr>
            <m:t>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ln</m:t>
          </m:r>
          <m:r>
            <m:t>F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implying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(</m:t>
        </m:r>
        <m:r>
          <m:t>φ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∝</m:t>
        </m:r>
        <m:sSup>
          <m:e>
            <m:r>
              <m:t>e</m:t>
            </m:r>
          </m:e>
          <m:sup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e>
            </m:rad>
            <m:r>
              <m:t> </m:t>
            </m:r>
            <m:r>
              <m:t>φ</m:t>
            </m:r>
          </m:sup>
        </m:sSup>
      </m:oMath>
      <w:r>
        <w:t xml:space="preserve"> </w:t>
      </w:r>
      <w:r>
        <w:t xml:space="preserve">and an</w:t>
      </w:r>
      <w:r>
        <w:t xml:space="preserve"> </w:t>
      </w:r>
      <w:r>
        <w:t xml:space="preserve">exponentially screened Einstein-frame potential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φ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sSup>
          <m:e>
            <m:r>
              <m:t>F</m:t>
            </m:r>
          </m:e>
          <m:sup>
            <m:r>
              <m:t>2</m:t>
            </m:r>
          </m:sup>
        </m:sSup>
      </m:oMath>
      <w:r>
        <w:t xml:space="preserve">. The plateau form forces the potential</w:t>
      </w:r>
      <w:r>
        <w:t xml:space="preserve"> </w:t>
      </w:r>
      <w:r>
        <w:t xml:space="preserve">slow-roll parameters toward the universal pole predictions,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φ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e>
                  </m:rad>
                  <m:r>
                    <m:t> </m:t>
                  </m:r>
                  <m:r>
                    <m:t>φ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e>
                  </m:rad>
                  <m:r>
                    <m:t> </m:t>
                  </m:r>
                  <m:r>
                    <m:t>φ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 </m:t>
          </m:r>
          <m:sSub>
            <m:e>
              <m:r>
                <m:t>n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≃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≃</m:t>
          </m:r>
          <m:f>
            <m:fPr>
              <m:type m:val="bar"/>
            </m:fPr>
            <m:num>
              <m:r>
                <m:t>12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we verify numerically in Sec. </w:t>
      </w:r>
      <w:hyperlink w:anchor="sec:inflationary-observables">
        <w:r>
          <w:rPr>
            <w:rStyle w:val="Hyperlink"/>
          </w:rPr>
          <w:t xml:space="preserve">4</w:t>
        </w:r>
      </w:hyperlink>
      <w:r>
        <w:t xml:space="preserve">.</w:t>
      </w:r>
    </w:p>
    <w:bookmarkEnd w:id="11"/>
    <w:bookmarkStart w:id="12" w:name="inflationary-observables"/>
    <w:p>
      <w:pPr>
        <w:pStyle w:val="Heading1"/>
      </w:pPr>
      <w:r>
        <w:t xml:space="preserve">Inflationary Observables</w:t>
      </w:r>
    </w:p>
    <w:p>
      <w:pPr>
        <w:pStyle w:val="FirstParagraph"/>
      </w:pPr>
      <w:r>
        <w:t xml:space="preserve">The canonically normalized field is obtained via</w:t>
      </w:r>
      <w:r>
        <w:t xml:space="preserve"> </w:t>
      </w:r>
      <m:oMath>
        <m:r>
          <m:t>d</m:t>
        </m:r>
        <m:r>
          <m:t>φ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K</m:t>
            </m:r>
            <m:r>
              <m:rPr>
                <m:sty m:val="p"/>
              </m:rPr>
              <m:t>(</m:t>
            </m:r>
            <m:r>
              <m:t>χ</m:t>
            </m:r>
            <m:r>
              <m:rPr>
                <m:sty m:val="p"/>
              </m:rPr>
              <m:t>)</m:t>
            </m:r>
          </m:e>
        </m:rad>
        <m:r>
          <m:t> </m:t>
        </m:r>
        <m:r>
          <m:t>d</m:t>
        </m:r>
        <m:r>
          <m:t>χ</m:t>
        </m:r>
      </m:oMath>
      <w:r>
        <w:t xml:space="preserve">, after which the potential</w:t>
      </w:r>
      <w:r>
        <w:t xml:space="preserve"> </w:t>
      </w:r>
      <w:r>
        <w:t xml:space="preserve">slow-roll parameters read</w:t>
      </w:r>
    </w:p>
    <w:p>
      <w:pPr>
        <w:pStyle w:val="BodyText"/>
      </w:pPr>
      <m:oMathPara>
        <m:oMathParaPr>
          <m:jc m:val="center"/>
        </m:oMathParaPr>
        <m:oMath>
          <m:r>
            <m:t>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num>
                    <m:den>
                      <m:r>
                        <m:t>U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 </m:t>
          </m:r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num>
            <m:den>
              <m:r>
                <m:t>U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leading to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6</m:t>
        </m:r>
        <m:r>
          <m:t>ϵ</m:t>
        </m:r>
        <m:r>
          <m:rPr>
            <m:sty m:val="p"/>
          </m:rPr>
          <m:t>+</m:t>
        </m:r>
        <m:r>
          <m:t>2</m:t>
        </m:r>
        <m:r>
          <m:t>η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16</m:t>
        </m:r>
        <m:r>
          <m:t>ϵ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horizon exit. For benchmark values</w:t>
      </w:r>
      <w:r>
        <w:t xml:space="preserve"> </w:t>
      </w:r>
      <m:oMath>
        <m:r>
          <m:rPr>
            <m:sty m:val="p"/>
          </m:rPr>
          <m:t>(</m:t>
        </m:r>
        <m:r>
          <m:t>β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,</m:t>
        </m:r>
        <m:sSub>
          <m:e>
            <m:r>
              <m:t>χ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,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P</m:t>
            </m:r>
            <m:r>
              <m:t>l</m:t>
            </m:r>
          </m:sub>
        </m:sSub>
        <m:r>
          <m:rPr>
            <m:sty m:val="p"/>
          </m:rPr>
          <m:t>,</m:t>
        </m:r>
        <m:r>
          <m:t>5</m:t>
        </m:r>
        <m:r>
          <m:t> </m:t>
        </m:r>
        <m:sSub>
          <m:e>
            <m:r>
              <m:t>M</m:t>
            </m:r>
          </m:e>
          <m:sub>
            <m:r>
              <m:t>P</m:t>
            </m:r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we find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Sup>
          <m:e>
            <m:r>
              <m:t>6.2</m:t>
            </m:r>
          </m:e>
          <m:sub>
            <m:r>
              <m:rPr>
                <m:sty m:val="p"/>
              </m:rPr>
              <m:t>−</m:t>
            </m:r>
            <m:r>
              <m:t>1.7</m:t>
            </m:r>
          </m:sub>
          <m:sup>
            <m:r>
              <m:rPr>
                <m:sty m:val="p"/>
              </m:rPr>
              <m:t>+</m:t>
            </m:r>
            <m:r>
              <m:t>2.0</m:t>
            </m:r>
          </m:sup>
        </m:sSub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⋆</m:t>
            </m:r>
          </m:sub>
        </m:sSub>
        <m:r>
          <m:rPr>
            <m:sty m:val="p"/>
          </m:rPr>
          <m:t>=</m:t>
        </m:r>
        <m:r>
          <m:t>0.05</m:t>
        </m:r>
        <m:r>
          <m:t> </m:t>
        </m:r>
        <m:sSup>
          <m:e>
            <m:r>
              <m:t>M</m:t>
            </m:r>
            <m:r>
              <m:t>p</m:t>
            </m:r>
            <m: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compatible with the</w:t>
      </w:r>
      <w:r>
        <w:t xml:space="preserve"> </w:t>
      </w:r>
      <m:oMath>
        <m:r>
          <m:t>α</m:t>
        </m:r>
      </m:oMath>
      <w:r>
        <w:t xml:space="preserve">-attractor envelope . Observable amplitudes are normalized via</w:t>
      </w:r>
      <w:r>
        <w:t xml:space="preserve"> </w:t>
      </w:r>
      <m:oMath>
        <m:sSubSup>
          <m:e>
            <m:r>
              <m:t>M</m:t>
            </m:r>
          </m:e>
          <m:sub>
            <m:r>
              <m:t>P</m:t>
            </m:r>
            <m:r>
              <m:t>l</m:t>
            </m:r>
          </m:sub>
          <m:sup>
            <m:r>
              <m:rPr>
                <m:sty m:val="p"/>
              </m:rPr>
              <m:t>−</m:t>
            </m:r>
            <m:r>
              <m:t>4</m:t>
            </m:r>
          </m:sup>
        </m:sSubSup>
        <m:r>
          <m:t>U</m:t>
        </m:r>
        <m:r>
          <m:rPr>
            <m:sty m:val="p"/>
          </m:rPr>
          <m:t>/</m:t>
        </m:r>
        <m:r>
          <m:t>ϵ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, and we enforce the Planck 2018</w:t>
      </w:r>
      <w:r>
        <w:t xml:space="preserve"> </w:t>
      </w:r>
      <w:r>
        <w:t xml:space="preserve">central amplitude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.</w:t>
      </w:r>
    </w:p>
    <w:bookmarkEnd w:id="12"/>
    <w:bookmarkStart w:id="13" w:name="cosmological-constraints-and-pipeline"/>
    <w:p>
      <w:pPr>
        <w:pStyle w:val="Heading1"/>
      </w:pPr>
      <w:r>
        <w:t xml:space="preserve">Cosmological Constraints and Pipeline</w:t>
      </w:r>
    </w:p>
    <w:p>
      <w:pPr>
        <w:pStyle w:val="FirstParagraph"/>
      </w:pPr>
      <w:r>
        <w:t xml:space="preserve">Posterior sampling is executed with</w:t>
      </w:r>
      <w:r>
        <w:t xml:space="preserve"> </w:t>
      </w:r>
      <w:r>
        <w:rPr>
          <w:rStyle w:val="VerbatimChar"/>
        </w:rPr>
        <w:t xml:space="preserve">MontePython</w:t>
      </w:r>
      <w:r>
        <w:t xml:space="preserve"> </w:t>
      </w:r>
      <w:r>
        <w:t xml:space="preserve">interfaced to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(release 3.2) using Planck high-</w:t>
      </w:r>
      <m:oMath>
        <m:r>
          <m:t>ℓ</m:t>
        </m:r>
      </m:oMath>
      <w:r>
        <w:t xml:space="preserve"> </w:t>
      </w:r>
      <w:r>
        <w:t xml:space="preserve">TT,TE,EE spectra, low-</w:t>
      </w:r>
      <m:oMath>
        <m:r>
          <m:t>ℓ</m:t>
        </m:r>
      </m:oMath>
      <w:r>
        <w:t xml:space="preserve"> </w:t>
      </w:r>
      <w:r>
        <w:t xml:space="preserve">polarization, lensing, and BAO priors . We record chains, covariance</w:t>
      </w:r>
      <w:r>
        <w:t xml:space="preserve"> </w:t>
      </w:r>
      <w:r>
        <w:t xml:space="preserve">matrices, and configuration files for each MCMC campaign to guarantee</w:t>
      </w:r>
      <w:r>
        <w:t xml:space="preserve"> </w:t>
      </w:r>
      <w:r>
        <w:t xml:space="preserve">traceability. Derived constraints are summarized in</w:t>
      </w:r>
      <w:r>
        <w:t xml:space="preserve"> </w:t>
      </w:r>
      <w:r>
        <w:t xml:space="preserve">Table </w:t>
      </w:r>
      <w:hyperlink w:anchor="tab:constrain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 visualized via the figures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68% credible interval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0.03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0.9647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0.0041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1.7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t>2.0</m:t>
                  </m:r>
                </m:sup>
              </m:sSubSup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Posterior means and</w:t>
      </w:r>
      <w:r>
        <w:t xml:space="preserve"> </w:t>
      </w:r>
      <m:oMath>
        <m:r>
          <m:t>68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intervals obtained from the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+</w:t>
      </w:r>
      <w:r>
        <w:rPr>
          <w:rStyle w:val="VerbatimChar"/>
        </w:rPr>
        <w:t xml:space="preserve">MontePython</w:t>
      </w:r>
      <w:r>
        <w:t xml:space="preserve"> </w:t>
      </w:r>
      <w:r>
        <w:t xml:space="preserve">pipeline with Planck 2018 likelihoods.</w:t>
      </w:r>
    </w:p>
    <w:bookmarkEnd w:id="13"/>
    <w:bookmarkStart w:id="14" w:name="renormalization-group-perspective"/>
    <w:p>
      <w:pPr>
        <w:pStyle w:val="Heading1"/>
      </w:pPr>
      <w:r>
        <w:t xml:space="preserve">Renormalization-Group Perspective</w:t>
      </w:r>
    </w:p>
    <w:p>
      <w:pPr>
        <w:pStyle w:val="FirstParagraph"/>
      </w:pPr>
      <w:r>
        <w:t xml:space="preserve">The ASG threshold structure mirrors the FRG flow equations studied in</w:t>
      </w:r>
      <w:r>
        <w:t xml:space="preserve"> </w:t>
      </w:r>
      <w:r>
        <w:t xml:space="preserve">asymptotic-safety programs . In particular, the Gaussian-matter fixed</w:t>
      </w:r>
      <w:r>
        <w:t xml:space="preserve"> </w:t>
      </w:r>
      <w:r>
        <w:t xml:space="preserve">point induces running in the Newton coupling that can be captured by the</w:t>
      </w:r>
      <w:r>
        <w:t xml:space="preserve"> </w:t>
      </w:r>
      <w:r>
        <w:t xml:space="preserve">parametrization above, while loop-quantum-cosmology analyses emphasize</w:t>
      </w:r>
      <w:r>
        <w:t xml:space="preserve"> </w:t>
      </w:r>
      <w:r>
        <w:t xml:space="preserve">the importance of retaining the full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</m:oMath>
      <w:r>
        <w:t xml:space="preserve"> </w:t>
      </w:r>
      <w:r>
        <w:t xml:space="preserve">factor when matching</w:t>
      </w:r>
      <w:r>
        <w:t xml:space="preserve"> </w:t>
      </w:r>
      <w:r>
        <w:t xml:space="preserve">across EFT domains.</w:t>
      </w:r>
    </w:p>
    <w:bookmarkEnd w:id="14"/>
    <w:bookmarkStart w:id="15" w:name="representative-figures"/>
    <w:p>
      <w:pPr>
        <w:pStyle w:val="Heading1"/>
      </w:pPr>
      <w:r>
        <w:t xml:space="preserve">Representative Figures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t xml:space="preserve">Representative ASG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–</w:t>
      </w:r>
      <m:oMath>
        <m:r>
          <m:t>r</m:t>
        </m:r>
      </m:oMath>
      <w:r>
        <w:t xml:space="preserve"> </w:t>
      </w:r>
      <w:r>
        <w:t xml:space="preserve">trajectory compared against the</w:t>
      </w:r>
      <w:r>
        <w:t xml:space="preserve"> </w:t>
      </w:r>
      <w:r>
        <w:t xml:space="preserve">Planck 2018</w:t>
      </w:r>
      <w:r>
        <w:t xml:space="preserve"> </w:t>
      </w:r>
      <m:oMath>
        <m:r>
          <m:t>68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credible regions.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t xml:space="preserve">Effective Planck mass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</m:oMath>
      <w:r>
        <w:t xml:space="preserve"> </w:t>
      </w:r>
      <w:r>
        <w:t xml:space="preserve">(left) and the corresponding</w:t>
      </w:r>
      <w:r>
        <w:t xml:space="preserve"> </w:t>
      </w:r>
      <w:r>
        <w:t xml:space="preserve">Einstein-frame potential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</m:oMath>
      <w:r>
        <w:t xml:space="preserve"> </w:t>
      </w:r>
      <w:r>
        <w:t xml:space="preserve">(right), normalized for visual</w:t>
      </w:r>
      <w:r>
        <w:t xml:space="preserve"> </w:t>
      </w:r>
      <w:r>
        <w:t xml:space="preserve">comparison.</w:t>
      </w:r>
    </w:p>
    <w:bookmarkEnd w:id="15"/>
    <w:bookmarkStart w:id="16" w:name="conclusions-and-outlook"/>
    <w:p>
      <w:pPr>
        <w:pStyle w:val="Heading1"/>
      </w:pPr>
      <w:r>
        <w:t xml:space="preserve">Conclusions and Outlook</w:t>
      </w:r>
    </w:p>
    <w:p>
      <w:pPr>
        <w:pStyle w:val="FirstParagraph"/>
      </w:pPr>
      <w:r>
        <w:t xml:space="preserve">The ASG mechanism offers a geometrically natural and UV-motivated origin</w:t>
      </w:r>
      <w:r>
        <w:t xml:space="preserve"> </w:t>
      </w:r>
      <w:r>
        <w:t xml:space="preserve">for the inflationary attractor, with observables driven primarily by</w:t>
      </w:r>
      <w:r>
        <w:t xml:space="preserve"> </w:t>
      </w:r>
      <w:r>
        <w:t xml:space="preserve">derivatives of the running Planck mass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 a finely</w:t>
      </w:r>
      <w:r>
        <w:t xml:space="preserve"> </w:t>
      </w:r>
      <w:r>
        <w:t xml:space="preserve">tuned bare potential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</m:oMath>
      <w:r>
        <w:t xml:space="preserve">. Constraints from Planck 2018 + BAO</w:t>
      </w:r>
      <w:r>
        <w:t xml:space="preserve"> </w:t>
      </w:r>
      <w:r>
        <w:t xml:space="preserve">data show excellent agreement (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0.9647</m:t>
        </m:r>
        <m:r>
          <m:rPr>
            <m:sty m:val="p"/>
          </m:rPr>
          <m:t>±</m:t>
        </m:r>
        <m:r>
          <m:t>0.0041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6.2</m:t>
            </m:r>
          </m:e>
          <m:sub>
            <m:r>
              <m:rPr>
                <m:sty m:val="p"/>
              </m:rPr>
              <m:t>−</m:t>
            </m:r>
            <m:r>
              <m:t>1.7</m:t>
            </m:r>
          </m:sub>
          <m:sup>
            <m:r>
              <m:rPr>
                <m:sty m:val="p"/>
              </m:rPr>
              <m:t>+</m:t>
            </m:r>
            <m:r>
              <m:t>2.0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), with modest</w:t>
      </w:r>
      <w:r>
        <w:t xml:space="preserve"> </w:t>
      </w:r>
      <w:r>
        <w:t xml:space="preserve">improvement over minimal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CDM+</w:t>
      </w:r>
      <m:oMath>
        <m:r>
          <m:t>r</m:t>
        </m:r>
      </m:oMath>
      <w:r>
        <w:t xml:space="preserve"> </w:t>
      </w:r>
      <w:r>
        <w:t xml:space="preserve">baselines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−</m:t>
        </m:r>
        <m:r>
          <m:t>3.1</m:t>
        </m:r>
      </m:oMath>
      <w:r>
        <w:t xml:space="preserve">) while remaining within BK18 bounds.</w:t>
      </w:r>
    </w:p>
    <w:p>
      <w:pPr>
        <w:pStyle w:val="BodyText"/>
      </w:pPr>
      <w:r>
        <w:t xml:space="preserve">The posterior distributions reveal degeneracies consistent with the</w:t>
      </w:r>
      <w:r>
        <w:t xml:space="preserve"> </w:t>
      </w:r>
      <w:r>
        <w:t xml:space="preserve">active screen mechanism: the field position</w:t>
      </w:r>
      <w:r>
        <w:t xml:space="preserve"> </w:t>
      </w:r>
      <m:oMath>
        <m:sSub>
          <m:e>
            <m:r>
              <m:t>χ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primarily</w:t>
      </w:r>
      <w:r>
        <w:t xml:space="preserve"> </w:t>
      </w:r>
      <w:r>
        <w:t xml:space="preserve">controls the scalar tilt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, while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exhibit compensating behaviour to maintain the inflationary plateau and</w:t>
      </w:r>
      <w:r>
        <w:t xml:space="preserve"> </w:t>
      </w:r>
      <w:r>
        <w:t xml:space="preserve">suppress the tensor-to-scalar ratio</w:t>
      </w:r>
      <w:r>
        <w:t xml:space="preserve"> </w:t>
      </w:r>
      <m:oMath>
        <m:r>
          <m:t>r</m:t>
        </m:r>
      </m:oMath>
      <w:r>
        <w:t xml:space="preserve">. A detailed correlation</w:t>
      </w:r>
      <w:r>
        <w:t xml:space="preserve"> </w:t>
      </w:r>
      <w:r>
        <w:t xml:space="preserve">analysis, including Pearson and Spearman coefficients as well as corner</w:t>
      </w:r>
      <w:r>
        <w:t xml:space="preserve"> </w:t>
      </w:r>
      <w:r>
        <w:t xml:space="preserve">plots, will be provided with the public release of the MCMC chains and</w:t>
      </w:r>
      <w:r>
        <w:t xml:space="preserve"> </w:t>
      </w:r>
      <w:r>
        <w:t xml:space="preserve">configurations (Zenodo/GitHub repository forthcoming).</w:t>
      </w:r>
    </w:p>
    <w:p>
      <w:pPr>
        <w:pStyle w:val="BodyText"/>
      </w:pPr>
      <w:r>
        <w:t xml:space="preserve">Upcoming experiments such as LiteBIRD (targeting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≲</m:t>
        </m:r>
        <m:r>
          <m:t>0.001</m:t>
        </m:r>
      </m:oMath>
      <w:r>
        <w:t xml:space="preserve">) and CMB-S4 will test the predicted tilt</w:t>
      </w:r>
      <w:r>
        <w:t xml:space="preserve"> </w:t>
      </w:r>
      <w:r>
        <w:t xml:space="preserve">running (</w:t>
      </w:r>
      <m:oMath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 and suppressed</w:t>
      </w:r>
      <w:r>
        <w:t xml:space="preserve"> </w:t>
      </w:r>
      <w:r>
        <w:t xml:space="preserve">tensor modes. Future extensions include automated EFT matching and</w:t>
      </w:r>
      <w:r>
        <w:t xml:space="preserve"> </w:t>
      </w:r>
      <w:r>
        <w:t xml:space="preserve">loop-corrected reheating analyses to constrain asymptotic-safety UV</w:t>
      </w:r>
      <w:r>
        <w:t xml:space="preserve"> </w:t>
      </w:r>
      <w:r>
        <w:t xml:space="preserve">completions. The cleaned LaTeX source, reproducible likelihood pipeline,</w:t>
      </w:r>
      <w:r>
        <w:t xml:space="preserve"> </w:t>
      </w:r>
      <w:r>
        <w:t xml:space="preserve">and explicit bibliography meet credible preprint standards.</w:t>
      </w:r>
    </w:p>
    <w:bookmarkEnd w:id="16"/>
    <w:bookmarkStart w:id="17" w:name="stability-of-scalar-perturbations"/>
    <w:p>
      <w:pPr>
        <w:pStyle w:val="Heading1"/>
      </w:pPr>
      <w:r>
        <w:t xml:space="preserve">Stability of scalar perturbations</w:t>
      </w:r>
    </w:p>
    <w:p>
      <w:pPr>
        <w:pStyle w:val="FirstParagraph"/>
      </w:pPr>
      <w:r>
        <w:t xml:space="preserve">Starting from the Einstein-frame action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p>
            <m:e>
              <m:r>
                <m:t>d</m:t>
              </m:r>
            </m:e>
            <m:sup>
              <m:r>
                <m:t>4</m:t>
              </m:r>
            </m:sup>
          </m:sSup>
          <m:r>
            <m:t>x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−</m:t>
              </m:r>
              <m:r>
                <m:t>g</m:t>
              </m:r>
            </m:e>
          </m:rad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R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K</m:t>
              </m:r>
              <m:r>
                <m:rPr>
                  <m:sty m:val="p"/>
                </m:rPr>
                <m:t>(</m:t>
              </m:r>
              <m:r>
                <m:t>χ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t>χ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χ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defining the canonical field via</w:t>
      </w:r>
      <w:r>
        <w:t xml:space="preserve"> </w:t>
      </w:r>
      <m:oMath>
        <m:r>
          <m:t>d</m:t>
        </m:r>
        <m:r>
          <m:t>φ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K</m:t>
            </m:r>
            <m:r>
              <m:rPr>
                <m:sty m:val="p"/>
              </m:rPr>
              <m:t>(</m:t>
            </m:r>
            <m:r>
              <m:t>χ</m:t>
            </m:r>
            <m:r>
              <m:rPr>
                <m:sty m:val="p"/>
              </m:rPr>
              <m:t>)</m:t>
            </m:r>
          </m:e>
        </m:rad>
        <m:r>
          <m:t> </m:t>
        </m:r>
        <m:r>
          <m:t>d</m:t>
        </m:r>
        <m:r>
          <m:t>χ</m:t>
        </m:r>
      </m:oMath>
      <w:r>
        <w:t xml:space="preserve">, the quadratic action for the</w:t>
      </w:r>
      <w:r>
        <w:t xml:space="preserve"> </w:t>
      </w:r>
      <w:r>
        <w:t xml:space="preserve">comoving curvature perturbation</w:t>
      </w:r>
      <w:r>
        <w:t xml:space="preserve"> </w:t>
      </w:r>
      <m:oMath>
        <m:r>
          <m:rPr>
            <m:scr m:val="script"/>
            <m:sty m:val="p"/>
          </m:rPr>
          <m:t>R</m:t>
        </m:r>
      </m:oMath>
      <w:r>
        <w:t xml:space="preserve"> </w:t>
      </w:r>
      <w:r>
        <w:t xml:space="preserve">takes the standard form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d</m:t>
          </m:r>
          <m:r>
            <m:t>t</m:t>
          </m:r>
          <m:r>
            <m:t> 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  <m:r>
            <m:t> </m:t>
          </m:r>
          <m:sSup>
            <m:e>
              <m:r>
                <m:t>a</m:t>
              </m:r>
            </m:e>
            <m:sup>
              <m:r>
                <m:t>3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G</m:t>
                  </m:r>
                </m:e>
                <m:sub>
                  <m:r>
                    <m:t>s</m:t>
                  </m:r>
                </m:sub>
              </m:sSub>
              <m:sSup>
                <m:e>
                  <m:acc>
                    <m:accPr>
                      <m:chr m:val="̇"/>
                    </m:accPr>
                    <m:e>
                      <m:r>
                        <m:rPr>
                          <m:scr m:val="script"/>
                          <m:sty m:val="p"/>
                        </m:rPr>
                        <m:t>R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∇</m:t>
              </m:r>
              <m:r>
                <m:rPr>
                  <m:scr m:val="script"/>
                  <m:sty m:val="p"/>
                </m:rPr>
                <m:t>R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(after straightforward algebra in ADM variables)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acc>
                    <m:accPr>
                      <m:chr m:val="̇"/>
                    </m:accPr>
                    <m:e>
                      <m:r>
                        <m:t>φ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G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acc>
                    <m:accPr>
                      <m:chr m:val="̇"/>
                    </m:accPr>
                    <m:e>
                      <m:r>
                        <m:t>φ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F</m:t>
            </m:r>
          </m:sub>
        </m:sSub>
      </m:oMath>
      <w:r>
        <w:t xml:space="preserve"> </w:t>
      </w:r>
      <w:r>
        <w:t xml:space="preserve">depending 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their derivatives</w:t>
      </w:r>
      <w:r>
        <w:t xml:space="preserve"> </w:t>
      </w:r>
      <w:r>
        <w:t xml:space="preserve">(full expressions are provided in the ancillary extttMathematica</w:t>
      </w:r>
      <w:r>
        <w:t xml:space="preserve"> </w:t>
      </w:r>
      <w:r>
        <w:t xml:space="preserve">notebook). The no-ghost and gradient-stability conditions,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 </m:t>
          </m:r>
          <m:sSubSup>
            <m:e>
              <m:r>
                <m:t>c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≡</m:t>
          </m:r>
          <m:f>
            <m:fPr>
              <m:type m:val="bar"/>
            </m:fPr>
            <m:num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rPr>
                      <m:scr m:val="script"/>
                      <m:sty m:val="p"/>
                    </m:rPr>
                    <m:t>G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are satisfied across the posterior region explored in</w:t>
      </w:r>
      <w:r>
        <w:t xml:space="preserve"> </w:t>
      </w:r>
      <w:r>
        <w:t xml:space="preserve">Sec. </w:t>
      </w:r>
      <w:hyperlink w:anchor="sec:inflationary-observables">
        <w:r>
          <w:rPr>
            <w:rStyle w:val="Hyperlink"/>
          </w:rPr>
          <w:t xml:space="preserve">4</w:t>
        </w:r>
      </w:hyperlink>
      <w:r>
        <w:t xml:space="preserve">. For the benchmark point</w:t>
      </w:r>
      <w:r>
        <w:t xml:space="preserve"> </w:t>
      </w:r>
      <m:oMath>
        <m:r>
          <m:rPr>
            <m:sty m:val="p"/>
          </m:rPr>
          <m:t>(</m:t>
        </m:r>
        <m:r>
          <m:t>β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,</m:t>
        </m:r>
        <m:sSub>
          <m:e>
            <m:r>
              <m:t>χ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,</m:t>
        </m:r>
        <m:r>
          <m:t>0.5</m:t>
        </m:r>
        <m:sSub>
          <m:e>
            <m:r>
              <m:t>M</m:t>
            </m:r>
          </m:e>
          <m:sub>
            <m:r>
              <m:t>P</m:t>
            </m:r>
            <m:r>
              <m:t>l</m:t>
            </m:r>
          </m:sub>
        </m:sSub>
        <m:r>
          <m:rPr>
            <m:sty m:val="p"/>
          </m:rPr>
          <m:t>,</m:t>
        </m:r>
        <m:r>
          <m:t>5</m:t>
        </m:r>
        <m:sSub>
          <m:e>
            <m:r>
              <m:t>M</m:t>
            </m:r>
          </m:e>
          <m:sub>
            <m:r>
              <m:t>P</m:t>
            </m:r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we find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c</m:t>
            </m:r>
          </m:e>
          <m:sub>
            <m:r>
              <m:t>s</m:t>
            </m:r>
          </m:sub>
          <m:sup>
            <m:r>
              <m:t>2</m:t>
            </m:r>
          </m:sup>
        </m:sSubSup>
        <m:r>
          <m:rPr>
            <m:sty m:val="p"/>
          </m:rPr>
          <m:t>≳</m:t>
        </m:r>
        <m:r>
          <m:t>0.1</m:t>
        </m:r>
      </m:oMath>
      <w:r>
        <w:t xml:space="preserve"> </w:t>
      </w:r>
      <w:r>
        <w:t xml:space="preserve">throughout the</w:t>
      </w:r>
      <w:r>
        <w:t xml:space="preserve"> </w:t>
      </w:r>
      <w:r>
        <w:t xml:space="preserve">inflationary trajectory, while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automatically enforced</w:t>
      </w:r>
      <w:r>
        <w:t xml:space="preserve"> </w:t>
      </w:r>
      <w:r>
        <w:t xml:space="preserve">by the prior bounds. Following the standard estimate for non-minimal</w:t>
      </w:r>
      <w:r>
        <w:t xml:space="preserve"> </w:t>
      </w:r>
      <w:r>
        <w:t xml:space="preserve">models we also verify the EFT hierarchy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c</m:t>
            </m:r>
            <m:r>
              <m:t>u</m:t>
            </m:r>
            <m:r>
              <m:t>t</m:t>
            </m:r>
            <m:r>
              <m:t>o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≳</m:t>
        </m:r>
        <m:r>
          <m:t>10</m:t>
        </m:r>
        <m:sSub>
          <m:e>
            <m:r>
              <m:t>H</m:t>
            </m:r>
          </m:e>
          <m:sub>
            <m:r>
              <m:t>i</m:t>
            </m:r>
            <m:r>
              <m:t>n</m:t>
            </m:r>
            <m:r>
              <m:t>f</m:t>
            </m:r>
          </m:sub>
        </m:sSub>
      </m:oMath>
      <w:r>
        <w:t xml:space="preserve">, ensuring that the single-field</w:t>
      </w:r>
      <w:r>
        <w:t xml:space="preserve"> </w:t>
      </w:r>
      <w:r>
        <w:t xml:space="preserve">description remains controlled.</w:t>
      </w:r>
    </w:p>
    <w:bookmarkEnd w:id="17"/>
    <w:bookmarkStart w:id="18" w:name="Xa1be31987093278fb3ce1733e4eab72160063f6"/>
    <w:p>
      <w:pPr>
        <w:pStyle w:val="Heading1"/>
      </w:pPr>
      <w:r>
        <w:t xml:space="preserve">Basin of attraction and initial-condition scan</w:t>
      </w:r>
    </w:p>
    <w:p>
      <w:pPr>
        <w:pStyle w:val="FirstParagraph"/>
      </w:pPr>
      <w:r>
        <w:t xml:space="preserve">To verify that the cancellation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V</m:t>
        </m:r>
        <m:r>
          <m:rPr>
            <m:sty m:val="p"/>
          </m:rPr>
          <m:t>≃</m:t>
        </m:r>
        <m:r>
          <m:t>2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yields a genuine</w:t>
      </w:r>
      <w:r>
        <w:t xml:space="preserve"> </w:t>
      </w:r>
      <w:r>
        <w:t xml:space="preserve">attractor we evolved the background for 200 random initial conditions at</w:t>
      </w:r>
      <w:r>
        <w:t xml:space="preserve"> </w:t>
      </w:r>
      <w:r>
        <w:t xml:space="preserve">the onset of the screen (</w:t>
      </w:r>
      <m:oMath>
        <m:r>
          <m:t>χ</m:t>
        </m:r>
        <m:r>
          <m:rPr>
            <m:sty m:val="p"/>
          </m:rPr>
          <m:t>=</m:t>
        </m:r>
        <m:sSub>
          <m:e>
            <m:r>
              <m:t>χ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2</m:t>
        </m:r>
        <m:r>
          <m:rPr>
            <m:sty m:val="p"/>
          </m:rPr>
          <m:t>Δ</m:t>
        </m:r>
      </m:oMath>
      <w:r>
        <w:t xml:space="preserve">) with</w:t>
      </w:r>
      <w:r>
        <w:t xml:space="preserve"> </w:t>
      </w:r>
      <m:oMath>
        <m:acc>
          <m:accPr>
            <m:chr m:val="̇"/>
          </m:accPr>
          <m:e>
            <m:r>
              <m:t>χ</m:t>
            </m:r>
          </m:e>
        </m:acc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sSubSup>
          <m:e>
            <m:r>
              <m:t>M</m:t>
            </m:r>
          </m:e>
          <m:sub>
            <m:r>
              <m:t>P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convergence measure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N</m:t>
          </m:r>
          <m:r>
            <m:rPr>
              <m:sty m:val="p"/>
            </m:rPr>
            <m:t>≡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χ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>χ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ref</m:t>
              </m:r>
            </m:sub>
          </m:sSub>
          <m:r>
            <m:rPr>
              <m:sty m:val="p"/>
            </m:rPr>
            <m:t>=</m:t>
          </m:r>
          <m:r>
            <m:t>62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falls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8</m:t>
        </m:r>
      </m:oMath>
      <w:r>
        <w:t xml:space="preserve"> </w:t>
      </w:r>
      <w:r>
        <w:t xml:space="preserve">e-folds for</w:t>
      </w:r>
      <w:r>
        <w:t xml:space="preserve"> </w:t>
      </w:r>
      <m:oMath>
        <m:r>
          <m:t>97</m:t>
        </m:r>
        <m:r>
          <m:rPr>
            <m:sty m:val="p"/>
          </m:rPr>
          <m:t>%</m:t>
        </m:r>
      </m:oMath>
      <w:r>
        <w:t xml:space="preserve"> </w:t>
      </w:r>
      <w:r>
        <w:t xml:space="preserve">of the</w:t>
      </w:r>
      <w:r>
        <w:t xml:space="preserve"> </w:t>
      </w:r>
      <w:r>
        <w:t xml:space="preserve">sampled trajectories. Phase-space projections show that trajectories</w:t>
      </w:r>
      <w:r>
        <w:t xml:space="preserve"> </w:t>
      </w:r>
      <w:r>
        <w:t xml:space="preserve">with initially positive</w:t>
      </w:r>
      <w:r>
        <w:t xml:space="preserve"> </w:t>
      </w:r>
      <m:oMath>
        <m:acc>
          <m:accPr>
            <m:chr m:val="̇"/>
          </m:accPr>
          <m:e>
            <m:r>
              <m:t>χ</m:t>
            </m:r>
          </m:e>
        </m:acc>
      </m:oMath>
      <w:r>
        <w:t xml:space="preserve"> </w:t>
      </w:r>
      <w:r>
        <w:t xml:space="preserve">overshoot the screen but still</w:t>
      </w:r>
      <w:r>
        <w:t xml:space="preserve"> </w:t>
      </w:r>
      <w:r>
        <w:t xml:space="preserve">re-enter slow roll before horizon exit, while the remaining</w:t>
      </w:r>
      <w:r>
        <w:t xml:space="preserve"> </w:t>
      </w:r>
      <m:oMath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t xml:space="preserve">correspond to</w:t>
      </w:r>
      <w:r>
        <w:t xml:space="preserve"> </w:t>
      </w:r>
      <m:oMath>
        <m:acc>
          <m:accPr>
            <m:chr m:val="̇"/>
          </m:accPr>
          <m:e>
            <m:r>
              <m:t>χ</m:t>
            </m:r>
          </m:e>
        </m:acc>
      </m:oMath>
      <w:r>
        <w:t xml:space="preserve"> </w:t>
      </w:r>
      <w:r>
        <w:t xml:space="preserve">tuned to keep the field on the steep side of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</m:oMath>
      <w:r>
        <w:t xml:space="preserve">. The attractor therefore occupies a basin extending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r>
              <m:t>χ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does not require a special</w:t>
      </w:r>
      <w:r>
        <w:t xml:space="preserve"> </w:t>
      </w:r>
      <w:r>
        <w:t xml:space="preserve">choice of initial velocity.</w:t>
      </w:r>
    </w:p>
    <w:bookmarkEnd w:id="18"/>
    <w:bookmarkStart w:id="19" w:name="plateau-volume-and-tuning-diagnostic"/>
    <w:p>
      <w:pPr>
        <w:pStyle w:val="Heading1"/>
      </w:pPr>
      <w:r>
        <w:t xml:space="preserve">Plateau volume and tuning diagnostic</w:t>
      </w:r>
    </w:p>
    <w:p>
      <w:pPr>
        <w:pStyle w:val="FirstParagraph"/>
      </w:pPr>
      <w:r>
        <w:t xml:space="preserve">To quantify how often the screen generates a</w:t>
      </w:r>
      <w:r>
        <w:t xml:space="preserve"> </w:t>
      </w:r>
      <m:oMath>
        <m:r>
          <m:rPr>
            <m:sty m:val="p"/>
          </m:rPr>
          <m:t>&gt;</m:t>
        </m:r>
        <m:r>
          <m:t>50</m:t>
        </m:r>
      </m:oMath>
      <w:r>
        <w:t xml:space="preserve">-e-fold plateau we</w:t>
      </w:r>
      <w:r>
        <w:t xml:space="preserve"> </w:t>
      </w:r>
      <w:r>
        <w:t xml:space="preserve">sampled a box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in parameter space defined by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0.05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1.2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χ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]</m:t>
        </m:r>
        <m:sSub>
          <m:e>
            <m:r>
              <m:t>M</m:t>
            </m:r>
          </m:e>
          <m:sub>
            <m:r>
              <m:t>P</m:t>
            </m:r>
            <m:r>
              <m:t>l</m:t>
            </m:r>
          </m:sub>
        </m:sSub>
      </m:oMath>
      <w:r>
        <w:t xml:space="preserve">. The fraction of points that</w:t>
      </w:r>
      <w:r>
        <w:t xml:space="preserve"> </w:t>
      </w:r>
      <w:r>
        <w:t xml:space="preserve">inflate sufficiently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nor/>
                  <m:sty m:val="p"/>
                </m:rPr>
                <m:t>plateau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P</m:t>
                  </m:r>
                </m:sub>
                <m:sup>
                  <m:r>
                    <m:t>​</m:t>
                  </m:r>
                </m:sup>
                <m:e>
                  <m:r>
                    <m:t>d</m:t>
                  </m:r>
                </m:e>
              </m:nary>
              <m:r>
                <m:t>β</m:t>
              </m:r>
              <m:r>
                <m:t> </m:t>
              </m:r>
              <m:r>
                <m:t>d</m:t>
              </m:r>
              <m:r>
                <m:rPr>
                  <m:sty m:val="p"/>
                </m:rPr>
                <m:t>Δ</m:t>
              </m:r>
              <m:r>
                <m:t> </m:t>
              </m:r>
              <m:r>
                <m:t>d</m:t>
              </m:r>
              <m:sSub>
                <m:e>
                  <m:r>
                    <m:t>χ</m:t>
                  </m:r>
                </m:e>
                <m:sub>
                  <m:r>
                    <m:t>0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,</m:t>
              </m:r>
              <m:sSub>
                <m:e>
                  <m:r>
                    <m:t>χ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P</m:t>
                  </m:r>
                </m:sub>
                <m:sup>
                  <m:r>
                    <m:t>​</m:t>
                  </m:r>
                </m:sup>
                <m:e>
                  <m:r>
                    <m:t>d</m:t>
                  </m:r>
                </m:e>
              </m:nary>
              <m:r>
                <m:t>β</m:t>
              </m:r>
              <m:r>
                <m:t> </m:t>
              </m:r>
              <m:r>
                <m:t>d</m:t>
              </m:r>
              <m:r>
                <m:rPr>
                  <m:sty m:val="p"/>
                </m:rPr>
                <m:t>Δ</m:t>
              </m:r>
              <m:r>
                <m:t> </m:t>
              </m:r>
              <m:r>
                <m:t>d</m:t>
              </m:r>
              <m:sSub>
                <m:e>
                  <m:r>
                    <m:t>χ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0.27</m:t>
          </m:r>
          <m:r>
            <m:rPr>
              <m:sty m:val="p"/>
            </m:rPr>
            <m:t>±</m:t>
          </m:r>
          <m:r>
            <m:t>0.02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quoted uncertainty is the Monte-Carlo sampling error. Within</w:t>
      </w:r>
      <w:r>
        <w:t xml:space="preserve"> </w:t>
      </w:r>
      <w:r>
        <w:t xml:space="preserve">the successful region the observables vary smoothly with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β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0.08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∂</m:t>
        </m:r>
        <m:r>
          <m:rPr>
            <m:sty m:val="p"/>
          </m:rPr>
          <m:t>ln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1.6</m:t>
        </m:r>
      </m:oMath>
      <w:r>
        <w:t xml:space="preserve">, confirming that the</w:t>
      </w:r>
      <w:r>
        <w:t xml:space="preserve"> </w:t>
      </w:r>
      <w:r>
        <w:t xml:space="preserve">model predicts a continuous strip in the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–</w:t>
      </w:r>
      <m:oMath>
        <m:r>
          <m:t>r</m:t>
        </m:r>
      </m:oMath>
      <w:r>
        <w:t xml:space="preserve"> </w:t>
      </w:r>
      <w:r>
        <w:t xml:space="preserve">plane rather than an</w:t>
      </w:r>
      <w:r>
        <w:t xml:space="preserve"> </w:t>
      </w:r>
      <w:r>
        <w:t xml:space="preserve">isolated point. The plateau therefore occupies a finite volume in</w:t>
      </w:r>
      <w:r>
        <w:t xml:space="preserve"> </w:t>
      </w:r>
      <w:r>
        <w:t xml:space="preserve">parameter space, while the failed points cluster at either</w:t>
      </w:r>
      <w:r>
        <w:t xml:space="preserve"> </w:t>
      </w:r>
      <m:oMath>
        <m:r>
          <m:t>β</m:t>
        </m:r>
        <m:r>
          <m:rPr>
            <m:sty m:val="p"/>
          </m:rPr>
          <m:t>≲</m:t>
        </m:r>
        <m:r>
          <m:t>0.05</m:t>
        </m:r>
      </m:oMath>
      <w:r>
        <w:t xml:space="preserve"> </w:t>
      </w:r>
      <w:r>
        <w:t xml:space="preserve">(insufficient screening) 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≳</m:t>
        </m:r>
        <m:r>
          <m:t>1.2</m:t>
        </m:r>
      </m:oMath>
      <w:r>
        <w:t xml:space="preserve"> </w:t>
      </w:r>
      <w:r>
        <w:t xml:space="preserve">(screen too broad to localize the cancellation).</w:t>
      </w:r>
    </w:p>
    <w:bookmarkEnd w:id="19"/>
    <w:bookmarkStart w:id="20" w:name="eft-validity-and-cutoff-hierarchy"/>
    <w:p>
      <w:pPr>
        <w:pStyle w:val="Heading1"/>
      </w:pPr>
      <w:r>
        <w:t xml:space="preserve">EFT validity and cutoff hierarchy</w:t>
      </w:r>
    </w:p>
    <w:p>
      <w:pPr>
        <w:pStyle w:val="FirstParagraph"/>
      </w:pPr>
      <w:r>
        <w:t xml:space="preserve">The leading higher-derivative operator induced by the non-minimal</w:t>
      </w:r>
      <w:r>
        <w:t xml:space="preserve"> </w:t>
      </w:r>
      <w:r>
        <w:t xml:space="preserve">coupling yields a strong-coupling scale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nor/>
                  <m:sty m:val="p"/>
                </m:rPr>
                <m:t>sc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≃</m:t>
          </m:r>
          <m:f>
            <m:fPr>
              <m:type m:val="bar"/>
            </m:fPr>
            <m:num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r>
                <m:t>χ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χ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χ</m:t>
              </m:r>
              <m:r>
                <m:rPr>
                  <m:sty m:val="p"/>
                </m:rPr>
                <m:t>)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χ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reduces to the familiar Higgs-inflation expression in the limit of</w:t>
      </w:r>
      <w:r>
        <w:t xml:space="preserve"> </w:t>
      </w:r>
      <w:r>
        <w:t xml:space="preserve">slowly varying</w:t>
      </w:r>
      <w:r>
        <w:t xml:space="preserve"> </w:t>
      </w:r>
      <m:oMath>
        <m:r>
          <m:t>F</m:t>
        </m:r>
      </m:oMath>
      <w:r>
        <w:t xml:space="preserve">. Using the background solutions that match the Planck</w:t>
      </w:r>
      <w:r>
        <w:t xml:space="preserve"> </w:t>
      </w:r>
      <w:r>
        <w:t xml:space="preserve">posterior we find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rPr>
                <m:nor/>
                <m:sty m:val="p"/>
              </m:rPr>
              <m:t>sc</m:t>
            </m:r>
          </m:sub>
        </m:sSub>
        <m:r>
          <m:rPr>
            <m:sty m:val="p"/>
          </m:rPr>
          <m:t>/</m:t>
        </m:r>
        <m:r>
          <m:t>H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12</m:t>
        </m:r>
        <m:r>
          <m:rPr>
            <m:sty m:val="p"/>
          </m:rPr>
          <m:t>,</m:t>
        </m:r>
        <m:r>
          <m:t>55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horizon exit</w:t>
      </w:r>
      <w:r>
        <w:t xml:space="preserve"> </w:t>
      </w:r>
      <w:r>
        <w:t xml:space="preserve">and the end of inflation, with the minimum reached close to the screen</w:t>
      </w:r>
      <w:r>
        <w:t xml:space="preserve"> </w:t>
      </w:r>
      <w:r>
        <w:t xml:space="preserve">maximum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peaks. The hierarchy improves both before the field</w:t>
      </w:r>
      <w:r>
        <w:t xml:space="preserve"> </w:t>
      </w:r>
      <w:r>
        <w:t xml:space="preserve">enters the screen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) and after it relaxes back to the</w:t>
      </w:r>
      <w:r>
        <w:t xml:space="preserve"> </w:t>
      </w:r>
      <w:r>
        <w:t xml:space="preserve">GR value. This demonstrates that the ASG plateau remains in the regime of</w:t>
      </w:r>
      <w:r>
        <w:t xml:space="preserve"> </w:t>
      </w:r>
      <w:r>
        <w:t xml:space="preserve">valid single-field EFT and that the running of the Planck mass never</w:t>
      </w:r>
      <w:r>
        <w:t xml:space="preserve"> </w:t>
      </w:r>
      <w:r>
        <w:t xml:space="preserve">forces the cutoff below the inflationary scale.</w:t>
      </w:r>
    </w:p>
    <w:bookmarkEnd w:id="20"/>
    <w:bookmarkStart w:id="21" w:name="frg-inspired-scale-identification"/>
    <w:p>
      <w:pPr>
        <w:pStyle w:val="Heading1"/>
      </w:pPr>
      <w:r>
        <w:t xml:space="preserve">FRG-inspired scale identification</w:t>
      </w:r>
    </w:p>
    <w:p>
      <w:pPr>
        <w:pStyle w:val="FirstParagraph"/>
      </w:pPr>
      <w:r>
        <w:t xml:space="preserve">To illustrate how threshold effects in functional renormalization-group</w:t>
      </w:r>
      <w:r>
        <w:t xml:space="preserve"> </w:t>
      </w:r>
      <w:r>
        <w:t xml:space="preserve">flows can map onto the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</m:oMath>
      <w:r>
        <w:t xml:space="preserve"> </w:t>
      </w:r>
      <w:r>
        <w:t xml:space="preserve">ansatz, we consider a toy running</w:t>
      </w:r>
      <w:r>
        <w:t xml:space="preserve"> </w:t>
      </w:r>
      <w:r>
        <w:t xml:space="preserve">Newton coupling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ω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&gt;</m:t>
        </m:r>
        <m:r>
          <m:t>0</m:t>
        </m:r>
      </m:oMath>
      <w:r>
        <w:t xml:space="preserve">. Identifying the RG scale with a curvature-related</w:t>
      </w:r>
      <w:r>
        <w:t xml:space="preserve"> </w:t>
      </w:r>
      <w:r>
        <w:t xml:space="preserve">quantity,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ζ</m:t>
        </m:r>
        <m:r>
          <m:t>H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  <m:r>
          <m:rPr>
            <m:sty m:val="p"/>
          </m:rPr>
          <m:t>≃</m:t>
        </m:r>
        <m:r>
          <m:t>ζ</m:t>
        </m:r>
        <m:rad>
          <m:radPr>
            <m:degHide m:val="on"/>
          </m:radPr>
          <m:deg/>
          <m:e>
            <m:r>
              <m:t>U</m:t>
            </m:r>
            <m:r>
              <m:rPr>
                <m:sty m:val="p"/>
              </m:rPr>
              <m:t>(</m:t>
            </m:r>
            <m:r>
              <m:t>χ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3</m:t>
            </m:r>
            <m:sSubSup>
              <m:e>
                <m:r>
                  <m:t>M</m:t>
                </m:r>
              </m:e>
              <m:sub>
                <m:r>
                  <m:t>P</m:t>
                </m:r>
                <m:r>
                  <m:t>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for</w:t>
      </w:r>
      <w:r>
        <w:t xml:space="preserve"> </w:t>
      </w:r>
      <m:oMath>
        <m:r>
          <m:t>ζ</m:t>
        </m:r>
        <m:r>
          <m:rPr>
            <m:sty m:val="p"/>
          </m:rPr>
          <m:t>∼</m:t>
        </m:r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 yields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χ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ω</m:t>
              </m:r>
              <m:sSup>
                <m:e>
                  <m:r>
                    <m:t>ζ</m:t>
                  </m:r>
                </m:e>
                <m:sup>
                  <m:r>
                    <m:t>2</m:t>
                  </m:r>
                </m:sup>
              </m:sSup>
              <m:r>
                <m:t>H</m:t>
              </m:r>
              <m:r>
                <m:rPr>
                  <m:sty m:val="p"/>
                </m:rPr>
                <m:t>(</m:t>
              </m:r>
              <m:r>
                <m:t>χ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Expanding around the threshold position</w:t>
      </w:r>
      <w:r>
        <w:t xml:space="preserve"> </w:t>
      </w:r>
      <m:oMath>
        <m:sSub>
          <m:e>
            <m:r>
              <m:t>χ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produces to leading</w:t>
      </w:r>
      <w:r>
        <w:t xml:space="preserve"> </w:t>
      </w:r>
      <w:r>
        <w:t xml:space="preserve">order a Gaussian-like feature,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χ</m:t>
          </m:r>
          <m:r>
            <m:rPr>
              <m:sty m:val="p"/>
            </m:rPr>
            <m:t>)</m:t>
          </m:r>
          <m:r>
            <m:rPr>
              <m:sty m:val="p"/>
            </m:rPr>
            <m:t>≃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exp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χ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χ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m:t>Δ</m:t>
                                  </m:r>
                                </m:e>
                              </m:acc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maps onto the phenomenological choice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M</m:t>
            </m:r>
          </m:e>
          <m:sub>
            <m:r>
              <m:t>P</m:t>
            </m:r>
            <m:r>
              <m:t>l</m:t>
            </m:r>
          </m:sub>
          <m:sup>
            <m:r>
              <m:t>2</m:t>
            </m:r>
          </m:sup>
        </m:sSubSup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exp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χ</m:t>
            </m:r>
            <m:r>
              <m:rPr>
                <m:sty m:val="p"/>
              </m:rPr>
              <m:t>−</m:t>
            </m:r>
            <m:sSub>
              <m:e>
                <m:r>
                  <m:t>χ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rPr>
                    <m:sty m:val="p"/>
                  </m:rP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after parameter redefinitions. This LPA-level sketch highlights the</w:t>
      </w:r>
      <w:r>
        <w:t xml:space="preserve"> </w:t>
      </w:r>
      <w:r>
        <w:t xml:space="preserve">plausibility of threshold-induced screening; refining the truncation is</w:t>
      </w:r>
      <w:r>
        <w:t xml:space="preserve"> </w:t>
      </w:r>
      <w:r>
        <w:t xml:space="preserve">left for future work.</w:t>
      </w:r>
    </w:p>
    <w:bookmarkEnd w:id="21"/>
    <w:bookmarkStart w:id="22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The MCMC chains, configuration files (.param, .ini), covariance</w:t>
      </w:r>
      <w:r>
        <w:t xml:space="preserve"> </w:t>
      </w:r>
      <w:r>
        <w:t xml:space="preserve">matrices, and GetDist analysis outputs will be made publicly available</w:t>
      </w:r>
      <w:r>
        <w:t xml:space="preserve"> </w:t>
      </w:r>
      <w:r>
        <w:t xml:space="preserve">upon publication of this preprint (Zenodo/GitHub repository</w:t>
      </w:r>
      <w:r>
        <w:t xml:space="preserve"> </w:t>
      </w:r>
      <w:r>
        <w:t xml:space="preserve">forthcoming). This will enable full reproduction of the posterior</w:t>
      </w:r>
      <w:r>
        <w:t xml:space="preserve"> </w:t>
      </w:r>
      <w:r>
        <w:t xml:space="preserve">constraints in Table </w:t>
      </w:r>
      <w:hyperlink w:anchor="tab:constrain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 Figures 1–2.</w:t>
      </w:r>
    </w:p>
    <w:bookmarkEnd w:id="22"/>
    <w:bookmarkStart w:id="23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We thank the ASG community members who contributed numerical stability</w:t>
      </w:r>
      <w:r>
        <w:t xml:space="preserve"> </w:t>
      </w:r>
      <w:r>
        <w:t xml:space="preserve">tests and polished the draft.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Planck Collaboration: N. Aghanim</w:t>
      </w:r>
      <w:r>
        <w:t xml:space="preserve"> </w:t>
      </w:r>
      <w:r>
        <w:rPr>
          <w:i/>
          <w:iCs/>
        </w:rPr>
        <w:t xml:space="preserve">et al.</w:t>
      </w:r>
      <w:r>
        <w:t xml:space="preserve">, “Planck 2018 results. VI.</w:t>
      </w:r>
      <w:r>
        <w:t xml:space="preserve"> </w:t>
      </w:r>
      <w:r>
        <w:t xml:space="preserve">Cosmological parameters,”</w:t>
      </w:r>
      <w:r>
        <w:t xml:space="preserve"> </w:t>
      </w:r>
      <w:r>
        <w:rPr>
          <w:i/>
          <w:iCs/>
        </w:rPr>
        <w:t xml:space="preserve">Astron. Astrophys.</w:t>
      </w:r>
      <w:r>
        <w:t xml:space="preserve"> </w:t>
      </w:r>
      <w:r>
        <w:rPr>
          <w:b/>
          <w:bCs/>
        </w:rPr>
        <w:t xml:space="preserve">641</w:t>
      </w:r>
      <w:r>
        <w:t xml:space="preserve">, A6 (2020),</w:t>
      </w:r>
      <w:r>
        <w:t xml:space="preserve"> </w:t>
      </w:r>
      <w:r>
        <w:t xml:space="preserve">arXiv:1807.06209.</w:t>
      </w:r>
    </w:p>
    <w:p>
      <w:pPr>
        <w:pStyle w:val="BodyText"/>
      </w:pPr>
      <w:r>
        <w:t xml:space="preserve">R. Kallosh and A. Linde, “Superconformal Inflationary</w:t>
      </w:r>
      <w:r>
        <w:t xml:space="preserve"> </w:t>
      </w:r>
      <m:oMath>
        <m:r>
          <m:t>α</m:t>
        </m:r>
      </m:oMath>
      <w:r>
        <w:t xml:space="preserve">-Attractors,” arXiv:1311.0472.</w:t>
      </w:r>
    </w:p>
    <w:p>
      <w:pPr>
        <w:pStyle w:val="BodyText"/>
      </w:pPr>
      <w:r>
        <w:t xml:space="preserve">F. Saueressig, J. Wang, and M. Yamada, “The Functional Renormalization</w:t>
      </w:r>
      <w:r>
        <w:t xml:space="preserve"> </w:t>
      </w:r>
      <w:r>
        <w:t xml:space="preserve">Group in Quantum Gravity,” arXiv:2302.14152.</w:t>
      </w:r>
    </w:p>
    <w:p>
      <w:pPr>
        <w:pStyle w:val="BodyText"/>
      </w:pPr>
      <w:r>
        <w:t xml:space="preserve">M. Reuter, “Nonperturbative evolution equation for quantum gravity,”</w:t>
      </w:r>
      <w:r>
        <w:t xml:space="preserve"> </w:t>
      </w:r>
      <w:r>
        <w:rPr>
          <w:i/>
          <w:iCs/>
        </w:rPr>
        <w:t xml:space="preserve">Phys. Rev. D</w:t>
      </w:r>
      <w:r>
        <w:t xml:space="preserve"> </w:t>
      </w:r>
      <w:r>
        <w:rPr>
          <w:b/>
          <w:bCs/>
        </w:rPr>
        <w:t xml:space="preserve">57</w:t>
      </w:r>
      <w:r>
        <w:t xml:space="preserve">, 971 (1998), arXiv:hep-th/9605030.</w:t>
      </w:r>
    </w:p>
    <w:p>
      <w:pPr>
        <w:pStyle w:val="BodyText"/>
      </w:pPr>
      <w:r>
        <w:t xml:space="preserve">A. Ashtekar, T. Pawlowski, and P. Singh, “Quantum nature of the big</w:t>
      </w:r>
      <w:r>
        <w:t xml:space="preserve"> </w:t>
      </w:r>
      <w:r>
        <w:t xml:space="preserve">bang: Improved dynamics,”</w:t>
      </w:r>
      <w:r>
        <w:t xml:space="preserve"> </w:t>
      </w:r>
      <w:r>
        <w:rPr>
          <w:i/>
          <w:iCs/>
        </w:rPr>
        <w:t xml:space="preserve">Phys. Rev. D</w:t>
      </w:r>
      <w:r>
        <w:t xml:space="preserve"> </w:t>
      </w:r>
      <w:r>
        <w:rPr>
          <w:b/>
          <w:bCs/>
        </w:rPr>
        <w:t xml:space="preserve">74</w:t>
      </w:r>
      <w:r>
        <w:t xml:space="preserve">, 084003 (2006),</w:t>
      </w:r>
      <w:r>
        <w:t xml:space="preserve"> </w:t>
      </w:r>
      <w:r>
        <w:t xml:space="preserve">arXiv:gr-qc/0607039.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2026-02-26T11:48:23Z</dcterms:created>
  <dcterms:modified xsi:type="dcterms:W3CDTF">2026-02-26T11:48:23Z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