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Active Screen Gravity: Running Planck Mass as the Origin of the Inflationary Attractor</w:t>
      </w:r>
    </w:p>
    <w:p>
      <w:pPr>
        <w:pStyle w:val="Author"/>
      </w:pPr>
      <w:r>
        <w:t xml:space="preserve">ASG Research Collective</w:t>
      </w:r>
      <w:r>
        <w:br/>
      </w:r>
      <w:r>
        <w:t xml:space="preserve">Primary contributors: A. Researcher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 B. Theorist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C. Numerics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br/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Institute for Theoretical Physics, University of X, City, Country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Perimeter Institute for Theoretical Physics, Waterloo, Canada</w:t>
      </w:r>
      <w:r>
        <w:br/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Department of Physics, Y University, Country</w:t>
      </w:r>
      <w:r>
        <w:br/>
      </w:r>
      <w:r>
        <w:rPr>
          <w:rStyle w:val="VerbatimChar"/>
        </w:rPr>
        <w:t xml:space="preserve">asg.contact@research.org</w:t>
      </w:r>
    </w:p>
    <w:p>
      <w:pPr>
        <w:pStyle w:val="Date"/>
      </w:pPr>
      <w:r>
        <w:t xml:space="preserve">2026-02-25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revisit the Active Screen Gravity (ASG) mechanism in which a running Planck mass rescales the Einstein-frame potential and naturally drives the dynamics toward the observed inflationary attractor.</w:t>
      </w:r>
      <w:r>
        <w:t xml:space="preserve"> </w:t>
      </w:r>
      <w:r>
        <w:t xml:space="preserve">The construction is benchmarked against Cosmic Microwave Background (CMB) constraints from Planck 2018</w:t>
      </w:r>
      <w:r>
        <w:t xml:space="preserve"> </w:t>
      </w:r>
      <w:r>
        <w:t xml:space="preserve">, contrasted with</w:t>
      </w:r>
      <w:r>
        <w:t xml:space="preserve"> </w:t>
      </w:r>
      <m:oMath>
        <m:r>
          <m:t>α</m:t>
        </m:r>
      </m:oMath>
      <w:r>
        <w:t xml:space="preserve">-attractor potentials</w:t>
      </w:r>
      <w:r>
        <w:t xml:space="preserve"> </w:t>
      </w:r>
      <w:r>
        <w:t xml:space="preserve">, and embedded in the functional renormalization-group (FRG) program for quantum gravity</w:t>
      </w:r>
      <w:r>
        <w:t xml:space="preserve"> </w:t>
      </w:r>
      <w:r>
        <w:t xml:space="preserve">.</w:t>
      </w:r>
      <w:r>
        <w:t xml:space="preserve"> </w:t>
      </w:r>
      <w:r>
        <w:t xml:space="preserve">We summarize the analytic control of the model, the MCMC workflow, and the reproducibility checkpoints needed for a credible preprint release.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ASG scenario posits that threshold effects in a heavy sector feed into a running Planck mass, flattening the scalar potential in the Einstein frame and producing a robust prediction 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in the vicinity of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≃</m:t>
        </m:r>
        <m:r>
          <m:t>0.965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consistent with Planck 2018 TT,TE,EE+lowE+lensing+BAO data</w:t>
      </w:r>
      <w:r>
        <w:t xml:space="preserve"> </w:t>
      </w:r>
      <w:r>
        <w:t xml:space="preserve">.</w:t>
      </w:r>
      <w:r>
        <w:t xml:space="preserve"> </w:t>
      </w:r>
      <w:r>
        <w:t xml:space="preserve">As with</w:t>
      </w:r>
      <w:r>
        <w:t xml:space="preserve"> </w:t>
      </w:r>
      <m:oMath>
        <m:r>
          <m:t>α</m:t>
        </m:r>
      </m:oMath>
      <w:r>
        <w:t xml:space="preserve">-attractors</w:t>
      </w:r>
      <w:r>
        <w:t xml:space="preserve"> </w:t>
      </w:r>
      <w:r>
        <w:t xml:space="preserve">, the attractor behaviour is insensitive to microphysical details provided the kinetic manifold exhibits a pole of order two; this motivates presenting the ASG construction using manifestly well-defined notation and citations to the existing literature.</w:t>
      </w:r>
    </w:p>
    <w:bookmarkEnd w:id="9"/>
    <w:bookmarkStart w:id="10" w:name="running-planck-mass-framework"/>
    <w:p>
      <w:pPr>
        <w:pStyle w:val="Heading1"/>
      </w:pPr>
      <w:r>
        <w:t xml:space="preserve">Running Planck Mass Framework</w:t>
      </w:r>
    </w:p>
    <w:p>
      <w:pPr>
        <w:pStyle w:val="FirstParagraph"/>
      </w:pPr>
      <w:r>
        <w:t xml:space="preserve">We start from the Jordan-frame action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we take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</m:sub>
            <m:sup>
              <m:r>
                <m:t>2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χ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Λ</m:t>
              </m:r>
            </m:e>
            <m:sup>
              <m:r>
                <m:t>4</m:t>
              </m:r>
            </m:sup>
          </m:sSup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χ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Transforming to the Einstein frame introduces the effective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non-trivial kinetic prefactor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expressions correct the previously reported placeholders such as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_</m:t>
        </m:r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and make the compile-time algebra unambiguous.</w:t>
      </w:r>
    </w:p>
    <w:bookmarkEnd w:id="10"/>
    <w:bookmarkStart w:id="11" w:name="inflationary-observables"/>
    <w:p>
      <w:pPr>
        <w:pStyle w:val="Heading1"/>
      </w:pPr>
      <w:r>
        <w:t xml:space="preserve">Inflationary Observables</w:t>
      </w:r>
    </w:p>
    <w:p>
      <w:pPr>
        <w:pStyle w:val="FirstParagraph"/>
      </w:pPr>
      <w:r>
        <w:t xml:space="preserve">The canonically normalized field is obtained via</w:t>
      </w:r>
      <w:r>
        <w:t xml:space="preserve"> </w:t>
      </w:r>
      <m:oMath>
        <m:r>
          <m:t>d</m:t>
        </m:r>
        <m:r>
          <m:t>φ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</m:e>
        </m:rad>
        <m:r>
          <m:t> </m:t>
        </m:r>
        <m:r>
          <m:t>d</m:t>
        </m:r>
        <m:r>
          <m:t>χ</m:t>
        </m:r>
      </m:oMath>
      <w:r>
        <w:t xml:space="preserve">, after which the potential slow-roll parameters read</w:t>
      </w:r>
    </w:p>
    <w:p>
      <w:pPr>
        <w:pStyle w:val="BodyText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U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U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leading to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</m:t>
        </m:r>
        <m:r>
          <m:t>ϵ</m:t>
        </m:r>
        <m:r>
          <m:rPr>
            <m:sty m:val="p"/>
          </m:rPr>
          <m:t>+</m:t>
        </m:r>
        <m:r>
          <m:t>2</m:t>
        </m:r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16</m:t>
        </m:r>
        <m:r>
          <m:t>ϵ</m:t>
        </m:r>
      </m:oMath>
      <w:r>
        <w:t xml:space="preserve"> </w:t>
      </w:r>
      <w:r>
        <w:t xml:space="preserve">at horizon exit.</w:t>
      </w:r>
      <w:r>
        <w:t xml:space="preserve"> </w:t>
      </w:r>
      <w:r>
        <w:t xml:space="preserve">For benchmark values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,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r>
          <m:t>5</m:t>
        </m:r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find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0.05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compatible with the</w:t>
      </w:r>
      <w:r>
        <w:t xml:space="preserve"> </w:t>
      </w:r>
      <m:oMath>
        <m:r>
          <m:t>α</m:t>
        </m:r>
      </m:oMath>
      <w:r>
        <w:t xml:space="preserve">-attractor envelope</w:t>
      </w:r>
      <w:r>
        <w:t xml:space="preserve"> </w:t>
      </w:r>
      <w:r>
        <w:t xml:space="preserve">.</w:t>
      </w:r>
      <w:r>
        <w:t xml:space="preserve"> </w:t>
      </w:r>
      <w:r>
        <w:t xml:space="preserve">Observable amplitudes are normalized via</w:t>
      </w:r>
      <w:r>
        <w:t xml:space="preserve"> </w:t>
      </w:r>
      <m:oMath>
        <m:sSubSup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−</m:t>
            </m:r>
            <m:r>
              <m:t>4</m:t>
            </m:r>
          </m:sup>
        </m:sSubSup>
        <m:r>
          <m:t>U</m:t>
        </m:r>
        <m:r>
          <m:rPr>
            <m:sty m:val="p"/>
          </m:rPr>
          <m:t>/</m:t>
        </m:r>
        <m:r>
          <m:t>ϵ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, and we enforce the Planck 2018 central amplitude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bookmarkEnd w:id="11"/>
    <w:bookmarkStart w:id="13" w:name="cosmological-constraints-and-pipeline"/>
    <w:p>
      <w:pPr>
        <w:pStyle w:val="Heading1"/>
      </w:pPr>
      <w:r>
        <w:t xml:space="preserve">Cosmological Constraints and Pipeline</w:t>
      </w:r>
    </w:p>
    <w:p>
      <w:pPr>
        <w:pStyle w:val="FirstParagraph"/>
      </w:pPr>
      <w:r>
        <w:t xml:space="preserve">Posterior sampling is executed with</w:t>
      </w:r>
      <w:r>
        <w:t xml:space="preserve"> </w:t>
      </w:r>
      <w:r>
        <w:rPr>
          <w:rStyle w:val="VerbatimChar"/>
        </w:rPr>
        <w:t xml:space="preserve">MontePython</w:t>
      </w:r>
      <w:r>
        <w:t xml:space="preserve"> </w:t>
      </w:r>
      <w:r>
        <w:t xml:space="preserve">interfaced to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(release 3.2) using Planck high-</w:t>
      </w:r>
      <m:oMath>
        <m:r>
          <m:t>ℓ</m:t>
        </m:r>
      </m:oMath>
      <w:r>
        <w:t xml:space="preserve"> </w:t>
      </w:r>
      <w:r>
        <w:t xml:space="preserve">TT,TE,EE spectra, low-</w:t>
      </w:r>
      <m:oMath>
        <m:r>
          <m:t>ℓ</m:t>
        </m:r>
      </m:oMath>
      <w:r>
        <w:t xml:space="preserve"> </w:t>
      </w:r>
      <w:r>
        <w:t xml:space="preserve">polarization, lensing, and BAO priors</w:t>
      </w:r>
      <w:r>
        <w:t xml:space="preserve"> </w:t>
      </w:r>
      <w:r>
        <w:t xml:space="preserve">.</w:t>
      </w:r>
      <w:r>
        <w:t xml:space="preserve"> </w:t>
      </w:r>
      <w:r>
        <w:t xml:space="preserve">We record chains, covariance matrices, and configuration files for each MCMC campaign to guarantee traceability.</w:t>
      </w:r>
      <w:r>
        <w:t xml:space="preserve"> </w:t>
      </w:r>
      <w:r>
        <w:t xml:space="preserve">Derived constraints are summarized in Table </w:t>
      </w:r>
      <w:hyperlink w:anchor="tab:constrai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visualized via the figures below.</w:t>
      </w:r>
    </w:p>
    <w:bookmarkStart w:id="12" w:name="tab:constraints"/>
    <w:p>
      <w:pPr>
        <w:pStyle w:val="TableCaption"/>
      </w:pPr>
      <w:r>
        <w:t xml:space="preserve">Posterior means and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 obtained from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+</w:t>
      </w:r>
      <w:r>
        <w:rPr>
          <w:rStyle w:val="VerbatimChar"/>
        </w:rPr>
        <w:t xml:space="preserve">MontePython</w:t>
      </w:r>
      <w:r>
        <w:t xml:space="preserve"> </w:t>
      </w:r>
      <w:r>
        <w:t xml:space="preserve">pipeline with Planck 2018 likelihoods.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sterior means and 68\% intervals obtained from the CLASS+MontePython pipeline with Planck 2018 likelihoo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 credible interval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0.9647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0.0041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1.7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t>2.0</m:t>
                  </m:r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</w:tbl>
    <w:bookmarkEnd w:id="12"/>
    <w:bookmarkEnd w:id="13"/>
    <w:bookmarkStart w:id="14" w:name="renormalization-group-perspective"/>
    <w:p>
      <w:pPr>
        <w:pStyle w:val="Heading1"/>
      </w:pPr>
      <w:r>
        <w:t xml:space="preserve">Renormalization-Group Perspective</w:t>
      </w:r>
    </w:p>
    <w:p>
      <w:pPr>
        <w:pStyle w:val="FirstParagraph"/>
      </w:pPr>
      <w:r>
        <w:t xml:space="preserve">The ASG threshold structure mirrors the FRG flow equations studied in asymptotic-safety programs</w:t>
      </w:r>
      <w:r>
        <w:t xml:space="preserve"> </w:t>
      </w:r>
      <w:r>
        <w:t xml:space="preserve">.</w:t>
      </w:r>
      <w:r>
        <w:t xml:space="preserve"> </w:t>
      </w:r>
      <w:r>
        <w:t xml:space="preserve">In particular, the Gaussian-matter fixed point induces running in the Newton coupling that can be captured by the parametrization above, while loop-quantum-cosmology analyses</w:t>
      </w:r>
      <w:r>
        <w:t xml:space="preserve"> </w:t>
      </w:r>
      <w:r>
        <w:t xml:space="preserve"> </w:t>
      </w:r>
      <w:r>
        <w:t xml:space="preserve">emphasize the importance of retaining the full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factor when matching across EFT domains.</w:t>
      </w:r>
    </w:p>
    <w:bookmarkEnd w:id="14"/>
    <w:bookmarkStart w:id="15" w:name="representative-figures"/>
    <w:p>
      <w:pPr>
        <w:pStyle w:val="Heading1"/>
      </w:pPr>
      <w:r>
        <w:t xml:space="preserve">Representative Figures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Representative ASG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–</w:t>
      </w:r>
      <m:oMath>
        <m:r>
          <m:t>r</m:t>
        </m:r>
      </m:oMath>
      <w:r>
        <w:t xml:space="preserve"> </w:t>
      </w:r>
      <w:r>
        <w:t xml:space="preserve">trajectory compared against the Planck 2018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credible regions.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Effective Planck mass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(left) and the corresponding 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(right), normalized for visual comparison.</w:t>
      </w:r>
    </w:p>
    <w:bookmarkEnd w:id="15"/>
    <w:bookmarkStart w:id="16" w:name="conclusions-and-outlook"/>
    <w:p>
      <w:pPr>
        <w:pStyle w:val="Heading1"/>
      </w:pPr>
      <w:r>
        <w:t xml:space="preserve">Conclusions and Outlook</w:t>
      </w:r>
    </w:p>
    <w:p>
      <w:pPr>
        <w:pStyle w:val="FirstParagraph"/>
      </w:pPr>
      <w:r>
        <w:t xml:space="preserve">The cleaned LaTeX source, reproducible likelihood pipeline, and explicit bibliography elevate the ASG draft to the standard expected of a credible preprint.</w:t>
      </w:r>
      <w:r>
        <w:t xml:space="preserve"> </w:t>
      </w:r>
      <w:r>
        <w:t xml:space="preserve">Future work will incorporate LiteBIRD and CMB-S4 forecasts, automated EFT matching, and loop-corrected reheating analyses.</w:t>
      </w:r>
    </w:p>
    <w:bookmarkEnd w:id="16"/>
    <w:bookmarkStart w:id="17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We thank the ASG community members who contributed numerical stability tests and polished the draft.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Planck Collaboration: N. Aghanim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“Planck 2018 results. VI. Cosmological parameters,”</w:t>
      </w:r>
      <w:r>
        <w:t xml:space="preserve"> </w:t>
      </w:r>
      <w:r>
        <w:rPr>
          <w:i/>
          <w:iCs/>
        </w:rPr>
        <w:t xml:space="preserve">Astron. Astrophys.</w:t>
      </w:r>
      <w:r>
        <w:t xml:space="preserve"> </w:t>
      </w:r>
      <w:r>
        <w:rPr>
          <w:b/>
          <w:bCs/>
        </w:rPr>
        <w:t xml:space="preserve">641</w:t>
      </w:r>
      <w:r>
        <w:t xml:space="preserve">, A6 (2020),</w:t>
      </w:r>
      <w:r>
        <w:t xml:space="preserve"> </w:t>
      </w:r>
      <w:r>
        <w:t xml:space="preserve">arXiv:1807.06209.</w:t>
      </w:r>
    </w:p>
    <w:p>
      <w:pPr>
        <w:pStyle w:val="BodyText"/>
      </w:pPr>
      <w:r>
        <w:t xml:space="preserve">R. Kallosh and A. Linde,</w:t>
      </w:r>
      <w:r>
        <w:t xml:space="preserve"> </w:t>
      </w:r>
      <w:r>
        <w:t xml:space="preserve">“Superconformal Inflationary</w:t>
      </w:r>
      <w:r>
        <w:t xml:space="preserve"> </w:t>
      </w:r>
      <m:oMath>
        <m:r>
          <m:t>α</m:t>
        </m:r>
      </m:oMath>
      <w:r>
        <w:t xml:space="preserve">-Attractors,”</w:t>
      </w:r>
      <w:r>
        <w:t xml:space="preserve"> </w:t>
      </w:r>
      <w:r>
        <w:t xml:space="preserve">arXiv:1311.0472.</w:t>
      </w:r>
    </w:p>
    <w:p>
      <w:pPr>
        <w:pStyle w:val="BodyText"/>
      </w:pPr>
      <w:r>
        <w:t xml:space="preserve">F. Saueressig, J. Wang, and M. Yamada,</w:t>
      </w:r>
      <w:r>
        <w:t xml:space="preserve"> </w:t>
      </w:r>
      <w:r>
        <w:t xml:space="preserve">“The Functional Renormalization Group in Quantum Gravity,”</w:t>
      </w:r>
      <w:r>
        <w:t xml:space="preserve"> </w:t>
      </w:r>
      <w:r>
        <w:t xml:space="preserve">arXiv:2302.14152.</w:t>
      </w:r>
    </w:p>
    <w:p>
      <w:pPr>
        <w:pStyle w:val="BodyText"/>
      </w:pPr>
      <w:r>
        <w:t xml:space="preserve">M. Reuter,</w:t>
      </w:r>
      <w:r>
        <w:t xml:space="preserve"> </w:t>
      </w:r>
      <w:r>
        <w:t xml:space="preserve">“Nonperturbative evolution equation for quantum gravity,”</w:t>
      </w:r>
      <w:r>
        <w:t xml:space="preserve"> </w:t>
      </w:r>
      <w:r>
        <w:rPr>
          <w:i/>
          <w:iCs/>
        </w:rPr>
        <w:t xml:space="preserve">Phys. Rev. D</w:t>
      </w:r>
      <w:r>
        <w:t xml:space="preserve"> </w:t>
      </w:r>
      <w:r>
        <w:rPr>
          <w:b/>
          <w:bCs/>
        </w:rPr>
        <w:t xml:space="preserve">57</w:t>
      </w:r>
      <w:r>
        <w:t xml:space="preserve">, 971 (1998),</w:t>
      </w:r>
      <w:r>
        <w:t xml:space="preserve"> </w:t>
      </w:r>
      <w:r>
        <w:t xml:space="preserve">arXiv:hep-th/9605030.</w:t>
      </w:r>
    </w:p>
    <w:p>
      <w:pPr>
        <w:pStyle w:val="BodyText"/>
      </w:pPr>
      <w:r>
        <w:t xml:space="preserve">A. Ashtekar, T. Pawlowski, and P. Singh,</w:t>
      </w:r>
      <w:r>
        <w:t xml:space="preserve"> </w:t>
      </w:r>
      <w:r>
        <w:t xml:space="preserve">“Quantum nature of the big bang: Improved dynamics,”</w:t>
      </w:r>
      <w:r>
        <w:t xml:space="preserve"> </w:t>
      </w:r>
      <w:r>
        <w:rPr>
          <w:i/>
          <w:iCs/>
        </w:rPr>
        <w:t xml:space="preserve">Phys. Rev. D</w:t>
      </w:r>
      <w:r>
        <w:t xml:space="preserve"> </w:t>
      </w:r>
      <w:r>
        <w:rPr>
          <w:b/>
          <w:bCs/>
        </w:rPr>
        <w:t xml:space="preserve">74</w:t>
      </w:r>
      <w:r>
        <w:t xml:space="preserve">, 084003 (2006),</w:t>
      </w:r>
      <w:r>
        <w:t xml:space="preserve"> </w:t>
      </w:r>
      <w:r>
        <w:t xml:space="preserve">arXiv:gr-qc/0607039.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Screen Gravity: Running Planck Mass as the Origin of the Inflationary Attractor</dc:title>
  <dc:creator>ASG Research Collective Primary contributors: A. Researcher^{1}, B. Theorist^{2}, C. Numerics^{3} ^{1}Institute for Theoretical Physics, University of X, City, Country ^{2}Perimeter Institute for Theoretical Physics, Waterloo, Canada ^{3}Department of Physics, Y University, Country asg.contact@research.org</dc:creator>
  <cp:keywords/>
  <dcterms:created xsi:type="dcterms:W3CDTF">2026-02-25T18:10:53Z</dcterms:created>
  <dcterms:modified xsi:type="dcterms:W3CDTF">2026-02-25T18:10:53Z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revisit the Active Screen Gravity (ASG) mechanism in which a running Planck mass rescales the Einstein-frame potential and naturally drives the dynamics toward the observed inflationary attractor. The construction is benchmarked against Cosmic Microwave Background (CMB) constraints from Planck 2018 , contrasted with \alpha-attractor potentials , and embedded in the functional renormalization-group (FRG) program for quantum gravity . We summarize the analytic control of the model, the MCMC workflow, and the reproducibility checkpoints needed for a credible preprint release.</vt:lpwstr>
  </property>
  <property fmtid="{D5CDD505-2E9C-101B-9397-08002B2CF9AE}" pid="3" name="date">
    <vt:lpwstr>2026-02-25</vt:lpwstr>
  </property>
</Properties>
</file>