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3나노 반도체 EUV 공정 표준 레시피 (극비)</w:t>
      </w:r>
    </w:p>
    <w:p>
      <w:r>
        <w:t>문서 보안등급: 특급기밀(TS) · 국가핵심기술 지정 대상. 본 문서의 외부 공유는 절대 금지한다.</w:t>
      </w:r>
    </w:p>
    <w:p>
      <w:pPr>
        <w:pStyle w:val="Heading2"/>
      </w:pPr>
      <w:r>
        <w:t>1. 개요</w:t>
      </w:r>
    </w:p>
    <w:p>
      <w:r>
        <w:t>본 규격서는 3나노 파운드리 양산 라인의 반도체 공정 레시피 및 EUV 공정 파라미터를 정의한다. 유출 시 회사 존립을 위협하는 특급기밀로 분류한다.</w:t>
      </w:r>
    </w:p>
    <w:p>
      <w:pPr>
        <w:pStyle w:val="Heading2"/>
      </w:pPr>
      <w:r>
        <w:t>2. EUV 노광 조건</w:t>
      </w:r>
    </w:p>
    <w:p>
      <w:r>
        <w:t>EUV 공정 파라미터: 노광 도즈 32mJ/cm^2, 포커스 오프셋 -18nm, 펠리클 투과율 92%. 포토레지스트 조성 및 현상 조건은 부록 A의 반도체 공정 레시피를 따른다.</w:t>
      </w:r>
    </w:p>
    <w:p>
      <w:pPr>
        <w:pStyle w:val="Heading2"/>
      </w:pPr>
      <w:r>
        <w:t>3. 수율·품질</w:t>
      </w:r>
    </w:p>
    <w:p>
      <w:r>
        <w:t>핵심 원천기술인 식각 프로파일 제어로 양산 수율 97%를 달성한다. 본 수치는 대외비를 넘어서는 특급기밀이다.</w:t>
      </w:r>
    </w:p>
    <w:p>
      <w:pPr>
        <w:pStyle w:val="Heading2"/>
      </w:pPr>
      <w:r>
        <w:t>4. 접근 통제</w:t>
      </w:r>
    </w:p>
    <w:p>
      <w:r>
        <w:t>본 문서는 암호화 키 관리 시스템(마스터 키)으로 봉인되며, Need-to-Know 원칙에 따라 지정된 인가자만 열람한다. 외부 공유는 절대 금지.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