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차세대 3nm 반도체 EUV 노광 공정 최적화 결과 보고</w:t>
      </w:r>
    </w:p>
    <w:p>
      <w:r>
        <w:t>본 문서는 당사 R&amp;D 센터가 2024년 확보한 3nm 노드 EUV 리소그래피 공정의 핵심 파라미터를 정리한 내부 대외비 자료입니다. 노광 에너지 150mJ/cm2, 전사 깊이 50nm, 신규 저굴절률 레지스트 굴절률 1.32 등 경쟁사가 확보하지 못한 고유 공정값과, 2차 전사 수율을 기존 78%에서 85%로 개선한 최적화 레시피가 상세히 기재되어 있습니다.</w:t>
      </w:r>
    </w:p>
    <w:p>
      <w:r>
        <w:t>본 자료의 접근 권한은 CIO, 공정기술팀장, 품질책임자로 엄격히 제한되며 외부 협력사와의 공유를 금지합니다. 유출 시 경쟁사가 핵심 공정을 복제하여 시장 점유율을 급격히 잠식할 수 있으므로, 사내 비밀관리규정에 따라 최고 등급으로 통제되고 열람 이력이 감사 로그에 기록됩니다.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