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C32E3" w14:textId="77777777" w:rsidR="00B201DF" w:rsidRPr="00D87FB2" w:rsidRDefault="00B201DF" w:rsidP="00B201DF">
      <w:pPr>
        <w:spacing w:before="100" w:beforeAutospacing="1" w:after="100" w:afterAutospacing="1" w:line="240" w:lineRule="auto"/>
        <w:outlineLvl w:val="0"/>
        <w:rPr>
          <w:rFonts w:ascii="Times New Roman" w:eastAsia="Times New Roman" w:hAnsi="Times New Roman" w:cs="Times New Roman"/>
          <w:b/>
          <w:bCs/>
          <w:color w:val="EE0000"/>
          <w:kern w:val="36"/>
          <w:sz w:val="48"/>
          <w:szCs w:val="48"/>
          <w14:ligatures w14:val="none"/>
        </w:rPr>
      </w:pPr>
      <w:r w:rsidRPr="00D87FB2">
        <w:rPr>
          <w:rFonts w:ascii="Times New Roman" w:eastAsia="Times New Roman" w:hAnsi="Times New Roman" w:cs="Times New Roman"/>
          <w:b/>
          <w:bCs/>
          <w:color w:val="EE0000"/>
          <w:kern w:val="36"/>
          <w:sz w:val="48"/>
          <w:szCs w:val="48"/>
          <w14:ligatures w14:val="none"/>
        </w:rPr>
        <w:t>Human Trafficking 101: A Foundational Academic Overview for Survivor-Centered Nonprofit Practice</w:t>
      </w:r>
    </w:p>
    <w:p w14:paraId="7AC91F61"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Prepared for:</w:t>
      </w:r>
      <w:r w:rsidRPr="00D87FB2">
        <w:rPr>
          <w:rFonts w:ascii="Times New Roman" w:eastAsia="Times New Roman" w:hAnsi="Times New Roman" w:cs="Times New Roman"/>
          <w:kern w:val="0"/>
          <w14:ligatures w14:val="none"/>
        </w:rPr>
        <w:t xml:space="preserve"> Forged in the Fire Knowledge Base </w:t>
      </w:r>
      <w:r w:rsidRPr="00D87FB2">
        <w:rPr>
          <w:rFonts w:ascii="Times New Roman" w:eastAsia="Times New Roman" w:hAnsi="Times New Roman" w:cs="Times New Roman"/>
          <w:b/>
          <w:bCs/>
          <w:kern w:val="0"/>
          <w14:ligatures w14:val="none"/>
        </w:rPr>
        <w:t>Topic:</w:t>
      </w:r>
      <w:r w:rsidRPr="00D87FB2">
        <w:rPr>
          <w:rFonts w:ascii="Times New Roman" w:eastAsia="Times New Roman" w:hAnsi="Times New Roman" w:cs="Times New Roman"/>
          <w:kern w:val="0"/>
          <w14:ligatures w14:val="none"/>
        </w:rPr>
        <w:t xml:space="preserve"> Foundational research paper on human trafficking </w:t>
      </w:r>
      <w:r w:rsidRPr="00D87FB2">
        <w:rPr>
          <w:rFonts w:ascii="Times New Roman" w:eastAsia="Times New Roman" w:hAnsi="Times New Roman" w:cs="Times New Roman"/>
          <w:b/>
          <w:bCs/>
          <w:kern w:val="0"/>
          <w14:ligatures w14:val="none"/>
        </w:rPr>
        <w:t>Citation style:</w:t>
      </w:r>
      <w:r w:rsidRPr="00D87FB2">
        <w:rPr>
          <w:rFonts w:ascii="Times New Roman" w:eastAsia="Times New Roman" w:hAnsi="Times New Roman" w:cs="Times New Roman"/>
          <w:kern w:val="0"/>
          <w14:ligatures w14:val="none"/>
        </w:rPr>
        <w:t xml:space="preserve"> APA, 7th edition</w:t>
      </w:r>
    </w:p>
    <w:p w14:paraId="10C5C241" w14:textId="77777777" w:rsidR="00B201DF" w:rsidRPr="00D87FB2" w:rsidRDefault="00B201DF" w:rsidP="00B201DF">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215B6A97" wp14:editId="4B14F880">
                <wp:extent cx="5943600" cy="635"/>
                <wp:effectExtent l="0" t="0" r="12700" b="24765"/>
                <wp:docPr id="2070006897" name="Rectangle 3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B75027" id="Rectangle 30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0DB9EE64" w14:textId="77777777" w:rsidR="00B201DF" w:rsidRPr="00D87FB2" w:rsidRDefault="00B201DF" w:rsidP="00B201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Executive Summary</w:t>
      </w:r>
    </w:p>
    <w:p w14:paraId="30FB1D57"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Human trafficking is a federally prosecutable crime and an internationally recognized human rights violation involving the use of force, fraud, or coercion to compel a person into commercial sex acts or labor and services (22 U.S.C. § 7102; U.S. Department of Justice [DOJ], 2024). It is distinct from migrant smuggling, prostitution as commonly understood, and kidnapping, although those phenomena can overlap in specific cases. The International </w:t>
      </w:r>
      <w:proofErr w:type="spellStart"/>
      <w:r w:rsidRPr="00D87FB2">
        <w:rPr>
          <w:rFonts w:ascii="Times New Roman" w:eastAsia="Times New Roman" w:hAnsi="Times New Roman" w:cs="Times New Roman"/>
          <w:kern w:val="0"/>
          <w14:ligatures w14:val="none"/>
        </w:rPr>
        <w:t>Labour</w:t>
      </w:r>
      <w:proofErr w:type="spellEnd"/>
      <w:r w:rsidRPr="00D87FB2">
        <w:rPr>
          <w:rFonts w:ascii="Times New Roman" w:eastAsia="Times New Roman" w:hAnsi="Times New Roman" w:cs="Times New Roman"/>
          <w:kern w:val="0"/>
          <w14:ligatures w14:val="none"/>
        </w:rPr>
        <w:t xml:space="preserve"> Organization (ILO) and Walk Free estimated that, as of 2021, 27.6 million people globally were in situations of forced labor, with an additional 22 million in forced marriage (ILO, Walk Free, &amp; International Organization for Migration [IOM], 2022). In the United States, the National Human Trafficking Hotline received 32,309 signals in 2024 alone, including 8,024 contacts from victims and survivors (Polaris Project, 2025).</w:t>
      </w:r>
    </w:p>
    <w:p w14:paraId="2CA15020"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This paper provides a foundational understanding of human trafficking suitable for nonprofit education, donor and grant writing, staff training, and program design. It defines the federal Action–Means–Purpose framework, explains the elements of sex and labor trafficking, summarizes the best available data while acknowledging substantial measurement gaps, outlines federal and California legal frameworks, surveys empirically supported risk factors and control tactics, describes physical and psychological impacts on survivors, reviews evidence-informed service models, and addresses ethical considerations including survivor dignity, confidentiality, and the responsible use of survivor narratives. The paper concludes with practical recommendations and an annotated bibliography. Throughout, the paper relies on U.S. government, peer-reviewed academic, and high-credibility institutional sources, in keeping with Forged in the Fire's research standard.</w:t>
      </w:r>
    </w:p>
    <w:p w14:paraId="438B93F9" w14:textId="77777777" w:rsidR="00B201DF" w:rsidRPr="00D87FB2" w:rsidRDefault="00B201DF" w:rsidP="00B201DF">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7E8E1193" wp14:editId="2B4534C2">
                <wp:extent cx="5943600" cy="635"/>
                <wp:effectExtent l="0" t="0" r="12700" b="24765"/>
                <wp:docPr id="194253753" name="Rectangle 2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BDF15C" id="Rectangle 29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5CB881B6" w14:textId="77777777" w:rsidR="00B201DF" w:rsidRPr="00D87FB2" w:rsidRDefault="00B201DF" w:rsidP="00B201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I. Introduction</w:t>
      </w:r>
    </w:p>
    <w:p w14:paraId="2D54FD2F"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Human trafficking sits at the intersection of criminal law, public health, child welfare, immigration, mental health, economic policy, and social services. Despite high public visibility, the field is shaped by significant data limitations, frequent misrepresentation in popular media, and a persistent gap between cultural narratives and empirical research (Polaris Project, 2017; </w:t>
      </w:r>
      <w:r w:rsidRPr="00D87FB2">
        <w:rPr>
          <w:rFonts w:ascii="Times New Roman" w:eastAsia="Times New Roman" w:hAnsi="Times New Roman" w:cs="Times New Roman"/>
          <w:kern w:val="0"/>
          <w14:ligatures w14:val="none"/>
        </w:rPr>
        <w:lastRenderedPageBreak/>
        <w:t>U.S. Department of State [DOS], 2025). For nonprofit organizations such as Forged in the Fire that aim to support survivors, prevent exploitation, and educate communities, accurate foundational knowledge is essential. Misinformation can lead to ineffective programming, harm to survivors, and donor messaging that does not stand up to scrutiny.</w:t>
      </w:r>
    </w:p>
    <w:p w14:paraId="3081B44A"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This paper functions as a base-layer reference document. It is intended to be read by program staff, board members, volunteers, faith partners, donors, and </w:t>
      </w:r>
      <w:proofErr w:type="spellStart"/>
      <w:r w:rsidRPr="00D87FB2">
        <w:rPr>
          <w:rFonts w:ascii="Times New Roman" w:eastAsia="Times New Roman" w:hAnsi="Times New Roman" w:cs="Times New Roman"/>
          <w:kern w:val="0"/>
          <w14:ligatures w14:val="none"/>
        </w:rPr>
        <w:t>grantmakers</w:t>
      </w:r>
      <w:proofErr w:type="spellEnd"/>
      <w:r w:rsidRPr="00D87FB2">
        <w:rPr>
          <w:rFonts w:ascii="Times New Roman" w:eastAsia="Times New Roman" w:hAnsi="Times New Roman" w:cs="Times New Roman"/>
          <w:kern w:val="0"/>
          <w14:ligatures w14:val="none"/>
        </w:rPr>
        <w:t xml:space="preserve"> seeking a credible orientation to the field. Subsequent papers in the Forged in the Fire knowledge base will treat individual subtopics—such as commercial sexual exploitation of children, foster youth vulnerability, online grooming, and California-specific law—in greater depth.</w:t>
      </w:r>
    </w:p>
    <w:p w14:paraId="7AEE47E8" w14:textId="77777777" w:rsidR="00B201DF" w:rsidRPr="00D87FB2" w:rsidRDefault="00B201DF" w:rsidP="00B201DF">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1905AFCD" wp14:editId="0A35FD3B">
                <wp:extent cx="5943600" cy="635"/>
                <wp:effectExtent l="0" t="0" r="12700" b="24765"/>
                <wp:docPr id="587647510" name="Rectangle 2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7E257C" id="Rectangle 29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224984FF" w14:textId="77777777" w:rsidR="00B201DF" w:rsidRPr="00D87FB2" w:rsidRDefault="00B201DF" w:rsidP="00B201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II. Definitions and Scope</w:t>
      </w:r>
    </w:p>
    <w:p w14:paraId="797FEBE5"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The controlling federal definition appears in the Trafficking Victims Protection Act of 2000 (TVPA), as amended and codified at 22 U.S.C. § 7102. The statute defines a "severe form of trafficking in persons" as either (a) sex trafficking in which a commercial sex act is induced by force, fraud, or coercion, or in which the person induced to perform such act has not attained 18 years of age; or (b) the recruitment, harboring, transportation, provision, or obtaining of a person for labor or services, through the use of force, fraud, or coercion, for the purpose of subjection to involuntary servitude, peonage, debt bondage, or slavery (22 U.S.C. § 7102; Legal Information Institute [LII], n.d.).</w:t>
      </w:r>
    </w:p>
    <w:p w14:paraId="3B89B869"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Federal training materials and the U.S. Department of Homeland Security's Blue Campaign distill this statutory language into the </w:t>
      </w:r>
      <w:r w:rsidRPr="00D87FB2">
        <w:rPr>
          <w:rFonts w:ascii="Times New Roman" w:eastAsia="Times New Roman" w:hAnsi="Times New Roman" w:cs="Times New Roman"/>
          <w:b/>
          <w:bCs/>
          <w:kern w:val="0"/>
          <w14:ligatures w14:val="none"/>
        </w:rPr>
        <w:t>Action–Means–Purpose (AMP) framework</w:t>
      </w:r>
      <w:r w:rsidRPr="00D87FB2">
        <w:rPr>
          <w:rFonts w:ascii="Times New Roman" w:eastAsia="Times New Roman" w:hAnsi="Times New Roman" w:cs="Times New Roman"/>
          <w:kern w:val="0"/>
          <w14:ligatures w14:val="none"/>
        </w:rPr>
        <w:t xml:space="preserve"> for identifying potential trafficking situations: an Action (recruit, harbor, transport, provide, obtain, patronize, or solicit) combined with a Means (force, fraud, or coercion) for a Purpose (commercial sex or labor and services) (U.S. Department of Homeland Security [DHS], n.d.). Two critical statutory exceptions reshape this framework. First, when the trafficked person is a minor in commercial sex, the "means" element is not required; any commercial sex act involving a person under 18 is trafficking under federal law (22 U.S.C. § 7102). Second, movement across borders is not required; trafficking can and frequently does occur entirely within a single community, household, or workplace (DOJ, 2024).</w:t>
      </w:r>
    </w:p>
    <w:p w14:paraId="2D747687"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It is important to distinguish trafficking from related concepts. Human smuggling involves the consensual movement of a person across an international border in violation of immigration law and is fundamentally a crime against the state, whereas trafficking is a crime against a person and does not require movement. Prostitution, where consensual and adult, is not in itself trafficking under federal law, although many individuals in commercial sex meet trafficking criteria upon careful screening (Polaris Project, 2017). Domestic violence, child abuse, and sexual assault may co-occur with trafficking and frequently share dynamics of coercive control, but they are separately defined offenses.</w:t>
      </w:r>
    </w:p>
    <w:p w14:paraId="67F3DF79"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Polaris Project's foundational typology disaggregates U.S. trafficking into 25 distinct business models, ranging from pimp-controlled sex trafficking and illicit massage businesses to </w:t>
      </w:r>
      <w:r w:rsidRPr="00D87FB2">
        <w:rPr>
          <w:rFonts w:ascii="Times New Roman" w:eastAsia="Times New Roman" w:hAnsi="Times New Roman" w:cs="Times New Roman"/>
          <w:kern w:val="0"/>
          <w14:ligatures w14:val="none"/>
        </w:rPr>
        <w:lastRenderedPageBreak/>
        <w:t>agricultural labor trafficking, domestic servitude, and labor trafficking in restaurants, traveling sales crews, and forestry (Polaris Project, 2017). Each model carries distinct recruitment patterns, victim demographics, and control mechanisms, and effective intervention requires understanding the specific model in question rather than applying a single cultural template of trafficking.</w:t>
      </w:r>
    </w:p>
    <w:p w14:paraId="11D11B46" w14:textId="77777777" w:rsidR="00B201DF" w:rsidRPr="00D87FB2" w:rsidRDefault="00B201DF" w:rsidP="00B201DF">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544064EC" wp14:editId="456C9D2E">
                <wp:extent cx="5943600" cy="635"/>
                <wp:effectExtent l="0" t="0" r="12700" b="24765"/>
                <wp:docPr id="574387695" name="Rectangle 2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3244F3D" id="Rectangle 295"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1E0FF8A4" w14:textId="77777777" w:rsidR="00B201DF" w:rsidRPr="00D87FB2" w:rsidRDefault="00B201DF" w:rsidP="00B201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III. Current Research and Data</w:t>
      </w:r>
    </w:p>
    <w:p w14:paraId="65C2657F"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The empirical literature on human trafficking is uneven. Strong descriptive data exist on hotline contacts, federal prosecutions, and identified survivors; rigorous prevalence estimates remain difficult to produce because trafficking is hidden, definitions vary across jurisdictions, and survivors often do not self-identify (Macy &amp; Graham, 2012; National Academies of Sciences, Engineering, and Medicine, 2013). Researchers and federal agencies have urged caution about widely circulated statistics that lack methodological grounding (DOS, 2025).</w:t>
      </w:r>
    </w:p>
    <w:p w14:paraId="6DBCA2A2"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Within those constraints, several data points are well documented. The ILO–Walk Free–IOM (2022) Global Estimates concluded that approximately 27.6 million people were in forced labor on any given day in 2021, an increase of 2.7 million since 2016, with 86% of forced labor cases occurring in the private economy and an estimated $236 billion in annual illicit profits. In the United States, Polaris Project (2025) reported that the National Human Trafficking Hotline received 32,309 signals in 2024, including more than 17,900 phone calls and approximately 5,000 text messages, with 8,024 of those signals coming from victims and survivors directly. Cumulatively since 2007, the hotline has identified 112,822 cases involving 218,568 victims, making it one of the largest publicly available U.S. data sets on trafficking, though it is a sample of identified cases and cannot be read as a population estimate (Polaris Project, n.d.).</w:t>
      </w:r>
    </w:p>
    <w:p w14:paraId="78B81776"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Federal prosecution data provide another partial window. The annual Trafficking in Persons (TIP) Report compiles U.S. and global government anti-trafficking activity and ranks countries by tier based on minimum standards for elimination of trafficking (DOS, 2025). The 2025 TIP Report, the 25th edition, documented 13 countries with a documented "policy or pattern" of trafficking and a Child Soldiers Prevention Act list of 17 governments (DOS, 2025).</w:t>
      </w:r>
    </w:p>
    <w:p w14:paraId="4968F863"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Researchers continue to debate the relative prevalence of sex versus labor trafficking in the United States. Hotline data report substantially more sex trafficking cases than labor trafficking cases, but multiple studies suggest labor trafficking is more </w:t>
      </w:r>
      <w:proofErr w:type="spellStart"/>
      <w:r w:rsidRPr="00D87FB2">
        <w:rPr>
          <w:rFonts w:ascii="Times New Roman" w:eastAsia="Times New Roman" w:hAnsi="Times New Roman" w:cs="Times New Roman"/>
          <w:kern w:val="0"/>
          <w14:ligatures w14:val="none"/>
        </w:rPr>
        <w:t>underidentified</w:t>
      </w:r>
      <w:proofErr w:type="spellEnd"/>
      <w:r w:rsidRPr="00D87FB2">
        <w:rPr>
          <w:rFonts w:ascii="Times New Roman" w:eastAsia="Times New Roman" w:hAnsi="Times New Roman" w:cs="Times New Roman"/>
          <w:kern w:val="0"/>
          <w14:ligatures w14:val="none"/>
        </w:rPr>
        <w:t xml:space="preserve"> due to reduced public awareness, victim concentration in immigrant and low-wage workforces, and weaker law enforcement infrastructure for labor trafficking investigations (Owens et al., 2014, Urban Institute; Polaris Project, 2017). Covenant House research with youth experiencing homelessness in 13 U.S. and Canadian cities found that 19% of those interviewed reported a trafficking experience, including 27% of LGBTQ+ youth, with labor trafficking representing a substantial share of identified cases (Covenant House, 2018; Murphy, 2017).</w:t>
      </w:r>
    </w:p>
    <w:p w14:paraId="5B0DC4CE"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Where data are limited, this paper uses cautious framing. Statistics about the "average age of entry" into commercial sex, the dollar value of trafficking globally, and the number of victims in any given U.S. state are frequently miscited. Practitioners and grant writers should rely on </w:t>
      </w:r>
      <w:r w:rsidRPr="00D87FB2">
        <w:rPr>
          <w:rFonts w:ascii="Times New Roman" w:eastAsia="Times New Roman" w:hAnsi="Times New Roman" w:cs="Times New Roman"/>
          <w:kern w:val="0"/>
          <w14:ligatures w14:val="none"/>
        </w:rPr>
        <w:lastRenderedPageBreak/>
        <w:t>documented federal, ILO, and peer-reviewed sources and should clearly cite methodology when statistics are used.</w:t>
      </w:r>
    </w:p>
    <w:p w14:paraId="3A4400AE" w14:textId="77777777" w:rsidR="00B201DF" w:rsidRPr="00D87FB2" w:rsidRDefault="00B201DF" w:rsidP="00B201DF">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72D6D9AE" wp14:editId="3769DE99">
                <wp:extent cx="5943600" cy="635"/>
                <wp:effectExtent l="0" t="0" r="12700" b="24765"/>
                <wp:docPr id="409694719" name="Rectangle 2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016CD1" id="Rectangle 29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5DDAF7FD" w14:textId="77777777" w:rsidR="00B201DF" w:rsidRPr="00D87FB2" w:rsidRDefault="00B201DF" w:rsidP="00B201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IV. Legal and Policy Framework</w:t>
      </w:r>
    </w:p>
    <w:p w14:paraId="34688A84"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At the federal level, the TVPA of 2000 (Pub. L. 106-386) established the modern U.S. anti-trafficking framework, including criminal statutes (codified at 18 U.S.C. §§ 1581–1597), the Office to Monitor and Combat Trafficking in Persons at the U.S. Department of State, mandatory benefits and services for certified victims through the Office on Trafficking in Persons within the Administration for Children and Families (ACF), and the T nonimmigrant visa for noncitizen survivors (DOJ, 2024; ACF, n.d.). Reauthorizations in 2003, 2005, 2008, 2013, 2017, and 2018, along with the Justice for Victims of Trafficking Act of 2015 and the FOSTA-SESTA package of 2018, expanded protections, restitution, training, prevention funding, and certain criminal liability provisions (DOJ, 2024).</w:t>
      </w:r>
    </w:p>
    <w:p w14:paraId="2996A91F"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Federal criminal statutes prohibit forced labor (18 U.S.C. § 1589), trafficking with respect to peonage, slavery, involuntary servitude, or forced labor (18 U.S.C. § 1590), sex trafficking by force, fraud, or coercion or of a minor (18 U.S.C. § 1591), and document servitude (18 U.S.C. § 1592). Federal criminal cases are prosecuted by U.S. Attorneys' Offices and the DOJ Civil Rights Division's Human Trafficking Prosecution Unit, supported by the FBI, Homeland Security Investigations, and federal task forces (DOJ, 2024).</w:t>
      </w:r>
    </w:p>
    <w:p w14:paraId="13E2C276"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Survivors of trafficking have specific federal rights and remedies. Mandatory restitution under 18 U.S.C. § 1593 requires sentencing courts to order restitution to trafficking victims for the full </w:t>
      </w:r>
      <w:proofErr w:type="gramStart"/>
      <w:r w:rsidRPr="00D87FB2">
        <w:rPr>
          <w:rFonts w:ascii="Times New Roman" w:eastAsia="Times New Roman" w:hAnsi="Times New Roman" w:cs="Times New Roman"/>
          <w:kern w:val="0"/>
          <w14:ligatures w14:val="none"/>
        </w:rPr>
        <w:t>amount</w:t>
      </w:r>
      <w:proofErr w:type="gramEnd"/>
      <w:r w:rsidRPr="00D87FB2">
        <w:rPr>
          <w:rFonts w:ascii="Times New Roman" w:eastAsia="Times New Roman" w:hAnsi="Times New Roman" w:cs="Times New Roman"/>
          <w:kern w:val="0"/>
          <w14:ligatures w14:val="none"/>
        </w:rPr>
        <w:t xml:space="preserve"> of losses, including the value of services compelled. Survivors may pursue civil damages under 18 U.S.C. § 1595. Noncitizen survivors may apply for T nonimmigrant status (T visa), which provides temporary lawful status of up to four years for severe forms of trafficking victims who comply with reasonable law enforcement requests, with statutory exceptions and exemptions for minors and those unable to cooperate due to physical or psychological trauma; T visa holders may eventually adjust to lawful permanent resident status (U.S. Citizenship and Immigration Services [USCIS], n.d.). The U visa is available to victims of certain qualifying crimes, including human trafficking, who have suffered substantial physical or mental abuse and are helpful to law enforcement (USCIS, n.d.). Continued Presence is a separate temporary immigration designation that federal law enforcement may request for victims while investigations are pending (Office for Victims of Crime [OVC], n.d.).</w:t>
      </w:r>
    </w:p>
    <w:p w14:paraId="7D4AE52E"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In California, </w:t>
      </w:r>
      <w:r w:rsidRPr="00D87FB2">
        <w:rPr>
          <w:rFonts w:ascii="Times New Roman" w:eastAsia="Times New Roman" w:hAnsi="Times New Roman" w:cs="Times New Roman"/>
          <w:b/>
          <w:bCs/>
          <w:kern w:val="0"/>
          <w14:ligatures w14:val="none"/>
        </w:rPr>
        <w:t>California Penal Code § 236.1</w:t>
      </w:r>
      <w:r w:rsidRPr="00D87FB2">
        <w:rPr>
          <w:rFonts w:ascii="Times New Roman" w:eastAsia="Times New Roman" w:hAnsi="Times New Roman" w:cs="Times New Roman"/>
          <w:kern w:val="0"/>
          <w14:ligatures w14:val="none"/>
        </w:rPr>
        <w:t xml:space="preserve"> criminalizes human trafficking with three subsections: (a) labor trafficking, (b) sex trafficking of adults through force, fraud, or coercion, and (c) sex trafficking of minors regardless of force, fraud, or coercion. Penalties range from 3–5 years for adult labor trafficking to 15 years to life for trafficking of a minor with force, fraud, or coercion (Cal. Pen. Code § 236.1). California's Penal Code §§ 236.14 and 236.15 provide vacatur relief, allowing survivors to petition to vacate convictions arising from their trafficking victimization (California Office of the Attorney General, 2023). California also funds vertical </w:t>
      </w:r>
      <w:r w:rsidRPr="00D87FB2">
        <w:rPr>
          <w:rFonts w:ascii="Times New Roman" w:eastAsia="Times New Roman" w:hAnsi="Times New Roman" w:cs="Times New Roman"/>
          <w:kern w:val="0"/>
          <w14:ligatures w14:val="none"/>
        </w:rPr>
        <w:lastRenderedPageBreak/>
        <w:t>prosecution through legislation such as SB 236 (2023) and provides victim restitution and services through the California Victim Compensation Board.</w:t>
      </w:r>
    </w:p>
    <w:p w14:paraId="3D471E61"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Mandated reporting laws intersect with trafficking response. In California, child welfare professionals, healthcare providers, educators, and law enforcement are mandated reporters under the Child Abuse and Neglect Reporting Act (Cal. Pen. Code § 11164 et seq.). Suspected commercial sexual exploitation of a minor must be reported to child welfare or law enforcement. Adult survivors generally retain decision-making authority about disclosure and reporting except where overlapping mandates (e.g., elder or dependent adult abuse) apply.</w:t>
      </w:r>
    </w:p>
    <w:p w14:paraId="6C655510" w14:textId="77777777" w:rsidR="00B201DF" w:rsidRPr="00D87FB2" w:rsidRDefault="00B201DF" w:rsidP="00B201DF">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738D6D1E" wp14:editId="13A01A6D">
                <wp:extent cx="5943600" cy="635"/>
                <wp:effectExtent l="0" t="0" r="12700" b="24765"/>
                <wp:docPr id="584670316" name="Rectangle 2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83BAEFE" id="Rectangle 29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067D4140" w14:textId="77777777" w:rsidR="00B201DF" w:rsidRPr="00D87FB2" w:rsidRDefault="00B201DF" w:rsidP="00B201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V. Risk Factors and Vulnerabilities</w:t>
      </w:r>
    </w:p>
    <w:p w14:paraId="0E3CE016"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Empirical research consistently identifies a constellation of overlapping individual, family, community, structural, and digital vulnerabilities associated with trafficking victimization. Vulnerability does not equal blame; traffickers deliberately seek out and exploit unmet needs and structural inequities (DOS, 2025; Polaris Project, n.d.).</w:t>
      </w:r>
    </w:p>
    <w:p w14:paraId="506D696F"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At the individual and family level, prior childhood abuse and neglect, disrupted attachment, exposure to domestic violence, untreated trauma, mental health conditions, learning and developmental disabilities, and substance use are well-documented risk factors (Reid et al., 2017; Hopper, 2017a). At the structural level, poverty, housing instability and homelessness, foster care involvement, juvenile justice involvement, undocumented immigration status, language barriers, racism, anti-LGBTQ+ stigma, and economic precarity heighten exposure (Murphy, 2017; Greeson et al., 2019). The intersection of these factors—rather than any single one—often defines the highest-risk profiles.</w:t>
      </w:r>
    </w:p>
    <w:p w14:paraId="10729F12"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Foster care and child welfare involvement is a particularly well-documented vulnerability pathway. An ACF analysis of nearly 37,000 youth in Florida foster care between 2011 and 2017 found that approximately 19% experienced at least one runaway episode, and 7% of those running youth had at least one human trafficking allegation while on runaway status; trafficking allegations were concentrated among youth with prior abuse, more frequent placement disruptions, and earlier first runaway episodes (Hartinger-Saunders et al., 2020, as cited in ACF Office of Planning, Research and Evaluation [OPRE], 2020). The federally mandated Sex Trafficking Identification and Response provisions of the Preventing Sex Trafficking and Strengthening Families Act of 2014 (P.L. 113-183) require state child welfare agencies to identify, document, and serve children who are victims or at risk.</w:t>
      </w:r>
    </w:p>
    <w:p w14:paraId="184D1D8E"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Youth homelessness is similarly load-bearing. Covenant House's multi-site study of 911 homeless and unstably housed youth across 13 cities found that 19% reported a trafficking experience, with elevated rates among LGBTQ+ youth (27%) and Black youth (Murphy, 2017; Covenant House, 2018). Survivors frequently entered survival sex while unhoused, and the presence of even one supportive adult was associated with reduced risk.</w:t>
      </w:r>
    </w:p>
    <w:p w14:paraId="617383E9"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lastRenderedPageBreak/>
        <w:t xml:space="preserve">Substance use and trafficking have a bidirectional and complicated relationship. A study of antitrafficking service providers in Maine found that 66% of clients reported substance use that preceded and contributed to trafficking, while 4.5% reported substance use disorders that developed because of trafficking; </w:t>
      </w:r>
      <w:proofErr w:type="gramStart"/>
      <w:r w:rsidRPr="00D87FB2">
        <w:rPr>
          <w:rFonts w:ascii="Times New Roman" w:eastAsia="Times New Roman" w:hAnsi="Times New Roman" w:cs="Times New Roman"/>
          <w:kern w:val="0"/>
          <w14:ligatures w14:val="none"/>
        </w:rPr>
        <w:t>the majority of</w:t>
      </w:r>
      <w:proofErr w:type="gramEnd"/>
      <w:r w:rsidRPr="00D87FB2">
        <w:rPr>
          <w:rFonts w:ascii="Times New Roman" w:eastAsia="Times New Roman" w:hAnsi="Times New Roman" w:cs="Times New Roman"/>
          <w:kern w:val="0"/>
          <w14:ligatures w14:val="none"/>
        </w:rPr>
        <w:t xml:space="preserve"> survivors in the sample experienced both pathways at varying stages (Stoklosa et al., 2020). Polysubstance use and opioid involvement are common among survivors presenting in emergency departments, and integrated trauma- and substance-use treatment is frequently necessary (Goldberg et al., 2022).</w:t>
      </w:r>
    </w:p>
    <w:p w14:paraId="27986BBF"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LGBTQ+ youth, immigrant populations, and people with disabilities face elevated risk profiles attributable largely to structural exclusion, family rejection, language and legal barriers, and reduced access to safe employment, </w:t>
      </w:r>
      <w:proofErr w:type="gramStart"/>
      <w:r w:rsidRPr="00D87FB2">
        <w:rPr>
          <w:rFonts w:ascii="Times New Roman" w:eastAsia="Times New Roman" w:hAnsi="Times New Roman" w:cs="Times New Roman"/>
          <w:kern w:val="0"/>
          <w14:ligatures w14:val="none"/>
        </w:rPr>
        <w:t>all of</w:t>
      </w:r>
      <w:proofErr w:type="gramEnd"/>
      <w:r w:rsidRPr="00D87FB2">
        <w:rPr>
          <w:rFonts w:ascii="Times New Roman" w:eastAsia="Times New Roman" w:hAnsi="Times New Roman" w:cs="Times New Roman"/>
          <w:kern w:val="0"/>
          <w14:ligatures w14:val="none"/>
        </w:rPr>
        <w:t xml:space="preserve"> which traffickers actively exploit (DOS, 2025; ACF, n.d.). Digital vulnerabilities—including online recruitment via social media platforms, gaming environments, and dating applications—are increasingly central to recruitment of minors and young adults and are documented in research from the National Center for Missing and Exploited Children (NCMEC) and Thorn (NCMEC, 2024; Thorn, 2022).</w:t>
      </w:r>
    </w:p>
    <w:p w14:paraId="1D6A39A8" w14:textId="77777777" w:rsidR="00B201DF" w:rsidRPr="00D87FB2" w:rsidRDefault="00B201DF" w:rsidP="00B201DF">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00228B1D" wp14:editId="483F7DE6">
                <wp:extent cx="5943600" cy="635"/>
                <wp:effectExtent l="0" t="0" r="12700" b="24765"/>
                <wp:docPr id="1599816813" name="Rectangle 2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079C5FB" id="Rectangle 28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0F32AF83" w14:textId="77777777" w:rsidR="00B201DF" w:rsidRPr="00D87FB2" w:rsidRDefault="00B201DF" w:rsidP="00B201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VI. Recruitment, Grooming, and Control Tactics</w:t>
      </w:r>
    </w:p>
    <w:p w14:paraId="2683E106"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Traffickers rarely use the kidnapping-by-strangers narrative depicted in popular media. Instead, the most consistently documented pattern across research is a deliberate, gradual process of identification, cultivation, and entrapment that exploits unmet emotional, material, and developmental needs (Polaris Project, 2017; Hopper, 2017b; Reid, 2016).</w:t>
      </w:r>
    </w:p>
    <w:p w14:paraId="2C5C7201"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Identification and recruitment</w:t>
      </w:r>
      <w:r w:rsidRPr="00D87FB2">
        <w:rPr>
          <w:rFonts w:ascii="Times New Roman" w:eastAsia="Times New Roman" w:hAnsi="Times New Roman" w:cs="Times New Roman"/>
          <w:kern w:val="0"/>
          <w14:ligatures w14:val="none"/>
        </w:rPr>
        <w:t xml:space="preserve"> typically occur in places where vulnerable individuals can be reliably </w:t>
      </w:r>
      <w:proofErr w:type="gramStart"/>
      <w:r w:rsidRPr="00D87FB2">
        <w:rPr>
          <w:rFonts w:ascii="Times New Roman" w:eastAsia="Times New Roman" w:hAnsi="Times New Roman" w:cs="Times New Roman"/>
          <w:kern w:val="0"/>
          <w14:ligatures w14:val="none"/>
        </w:rPr>
        <w:t>found:</w:t>
      </w:r>
      <w:proofErr w:type="gramEnd"/>
      <w:r w:rsidRPr="00D87FB2">
        <w:rPr>
          <w:rFonts w:ascii="Times New Roman" w:eastAsia="Times New Roman" w:hAnsi="Times New Roman" w:cs="Times New Roman"/>
          <w:kern w:val="0"/>
          <w14:ligatures w14:val="none"/>
        </w:rPr>
        <w:t xml:space="preserve"> schools, group homes, shelters, social media platforms, online games, dating apps, transportation hubs, malls, and informal labor markets. Traffickers may pose as romantic partners, friends, mentors, recruiters, or employment agents, and many survivors describe an initial relationship that felt protective, validating, or financially generous (Reid, 2016). Labor traffickers frequently rely on fraudulent job offers, recruitment fees, debt bondage, and document confiscation, particularly with migrant workers (DOS, 2025; Owens et al., 2014).</w:t>
      </w:r>
    </w:p>
    <w:p w14:paraId="718E6D7F"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Grooming</w:t>
      </w:r>
      <w:r w:rsidRPr="00D87FB2">
        <w:rPr>
          <w:rFonts w:ascii="Times New Roman" w:eastAsia="Times New Roman" w:hAnsi="Times New Roman" w:cs="Times New Roman"/>
          <w:kern w:val="0"/>
          <w14:ligatures w14:val="none"/>
        </w:rPr>
        <w:t xml:space="preserve"> in trafficking shares many features with grooming in child sexual abuse and intimate partner violence: identification of unmet needs, isolation from existing supports, normalization of progressively boundary-violating behavior, creation of secrets and shame, and reframing of exploitation as a chosen relationship or arrangement (Reid, 2016). Online grooming has been extensively documented, including the use of platform features to escalate contact, request explicit images, and exploit them as leverage (NCMEC, 2024; Thorn, 2022).</w:t>
      </w:r>
    </w:p>
    <w:p w14:paraId="000B98E0"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Control tactics</w:t>
      </w:r>
      <w:r w:rsidRPr="00D87FB2">
        <w:rPr>
          <w:rFonts w:ascii="Times New Roman" w:eastAsia="Times New Roman" w:hAnsi="Times New Roman" w:cs="Times New Roman"/>
          <w:kern w:val="0"/>
          <w14:ligatures w14:val="none"/>
        </w:rPr>
        <w:t xml:space="preserve"> generally rely far more on psychological coercion than on physical confinement. Documented mechanisms include (a) trauma bonding and trauma-coercive bonding, in which intermittent abuse and affection produce powerful attachments to the trafficker that survivors frequently describe as involuntary and persistent (Casassa et al., 2021; Reid et al., 2018); (b) threats of harm to the survivor, family members, children, or pets; (c) financial control through debt bondage, withholding of pay, and confiscation of wages or identification documents; (d) </w:t>
      </w:r>
      <w:r w:rsidRPr="00D87FB2">
        <w:rPr>
          <w:rFonts w:ascii="Times New Roman" w:eastAsia="Times New Roman" w:hAnsi="Times New Roman" w:cs="Times New Roman"/>
          <w:kern w:val="0"/>
          <w14:ligatures w14:val="none"/>
        </w:rPr>
        <w:lastRenderedPageBreak/>
        <w:t>manipulation of immigration status, including threats of deportation; (e) shame-based control rooted in fear of family, faith community, or law enforcement reactions; (f) drug-induced dependency; (g) physical violence and threats of violence, especially during initial victimization or attempted exits; (h) isolation from family, friends, and community; and (</w:t>
      </w:r>
      <w:proofErr w:type="spellStart"/>
      <w:r w:rsidRPr="00D87FB2">
        <w:rPr>
          <w:rFonts w:ascii="Times New Roman" w:eastAsia="Times New Roman" w:hAnsi="Times New Roman" w:cs="Times New Roman"/>
          <w:kern w:val="0"/>
          <w14:ligatures w14:val="none"/>
        </w:rPr>
        <w:t>i</w:t>
      </w:r>
      <w:proofErr w:type="spellEnd"/>
      <w:r w:rsidRPr="00D87FB2">
        <w:rPr>
          <w:rFonts w:ascii="Times New Roman" w:eastAsia="Times New Roman" w:hAnsi="Times New Roman" w:cs="Times New Roman"/>
          <w:kern w:val="0"/>
          <w14:ligatures w14:val="none"/>
        </w:rPr>
        <w:t>) digital surveillance through GPS tracking, account access, and threats to release explicit images or information (Hopper, 2017b; Polaris Project, n.d.).</w:t>
      </w:r>
    </w:p>
    <w:p w14:paraId="57F486E4"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Trauma-coercive bonding has emerged as a distinct construct in the peer-reviewed literature. Sanchez et al. (2019) and subsequent researchers argue that bonds formed under conditions of developmental immaturity and ongoing coercion differ qualitatively from adult intimate partner trauma bonding, with longer-lasting effects on attachment, identity, and capacity to trust (Casassa et al., 2021; Reid et al., 2018). These dynamics are essential for service providers to understand because they explain phenomena that are frequently misread as consent, complicity, or "uncooperative" survivor behavior.</w:t>
      </w:r>
    </w:p>
    <w:p w14:paraId="5AE7B78A" w14:textId="77777777" w:rsidR="00B201DF" w:rsidRPr="00D87FB2" w:rsidRDefault="00B201DF" w:rsidP="00B201DF">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46CDBA65" wp14:editId="5D7494BF">
                <wp:extent cx="5943600" cy="635"/>
                <wp:effectExtent l="0" t="0" r="12700" b="24765"/>
                <wp:docPr id="744276062" name="Rectangle 2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C03950" id="Rectangle 28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06790107" w14:textId="77777777" w:rsidR="00B201DF" w:rsidRPr="00D87FB2" w:rsidRDefault="00B201DF" w:rsidP="00B201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VII. Survivor Impact</w:t>
      </w:r>
    </w:p>
    <w:p w14:paraId="6B291F7D"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Trafficking causes physical, psychological, social, legal, financial, educational, and spiritual harm. The peer-reviewed literature documents a profile of complex trauma exposure that often exceeds the diagnostic criteria captured by classic post-traumatic stress disorder (PTSD), with high rates of co-occurring conditions and substantial functional impairment (Hopper, 2017a; Oram et al., 2016; Zimmerman &amp; Kiss, 2017).</w:t>
      </w:r>
    </w:p>
    <w:p w14:paraId="23A9F639"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Physical health sequelae include injuries from violence, sexually transmitted infections, reproductive health complications, untreated chronic conditions, dental and vision problems resulting from neglected care, traumatic brain injury, and chronic pain (Lederer &amp; Wetzel, 2014; Oram et al., 2012). Adolescent survivors may experience growth and developmental disruption.</w:t>
      </w:r>
    </w:p>
    <w:p w14:paraId="4A57AD44"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Psychological sequelae are extensive. Meta-analyses and systematic reviews report high prevalence of PTSD, complex PTSD, depression, anxiety, dissociation, suicidality, sleep disturbance, and substance use disorders among survivors of both sex and labor trafficking (Oram et al., 2016; </w:t>
      </w:r>
      <w:proofErr w:type="spellStart"/>
      <w:r w:rsidRPr="00D87FB2">
        <w:rPr>
          <w:rFonts w:ascii="Times New Roman" w:eastAsia="Times New Roman" w:hAnsi="Times New Roman" w:cs="Times New Roman"/>
          <w:kern w:val="0"/>
          <w14:ligatures w14:val="none"/>
        </w:rPr>
        <w:t>Ottisova</w:t>
      </w:r>
      <w:proofErr w:type="spellEnd"/>
      <w:r w:rsidRPr="00D87FB2">
        <w:rPr>
          <w:rFonts w:ascii="Times New Roman" w:eastAsia="Times New Roman" w:hAnsi="Times New Roman" w:cs="Times New Roman"/>
          <w:kern w:val="0"/>
          <w14:ligatures w14:val="none"/>
        </w:rPr>
        <w:t xml:space="preserve"> et al., 2016). Self-blame, shame, and identity disruption are nearly universal in clinical samples and are reinforced by the systems with which survivors must interact.</w:t>
      </w:r>
    </w:p>
    <w:p w14:paraId="209EEB43"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Social and relational impacts include isolation, distrust of helping systems, disrupted family relationships, child custody complications, and the loss of educational and vocational trajectories. Legal and financial impacts include criminal records arising from offenses committed under trafficker coercion, civil judgments and collections, immigration consequences, debt, identity theft, damaged credit, and the absence of work history or educational credentials (DOJ, 2024; OVC, n.d.).</w:t>
      </w:r>
    </w:p>
    <w:p w14:paraId="0BB42FDA"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Spiritual and existential impacts are frequently reported by survivors and are particularly relevant for faith-affiliated nonprofits. These may include rupture of meaning systems, alienation from </w:t>
      </w:r>
      <w:r w:rsidRPr="00D87FB2">
        <w:rPr>
          <w:rFonts w:ascii="Times New Roman" w:eastAsia="Times New Roman" w:hAnsi="Times New Roman" w:cs="Times New Roman"/>
          <w:kern w:val="0"/>
          <w14:ligatures w14:val="none"/>
        </w:rPr>
        <w:lastRenderedPageBreak/>
        <w:t>faith communities, and complex relationships with forgiveness, guilt, and identity (Hodge, 2014). Trauma-informed spiritual care that is voluntary, non-coercive, and survivor-led is supported in the literature when offered as one option among many.</w:t>
      </w:r>
    </w:p>
    <w:p w14:paraId="1A9C6EC0"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Recovery is non-linear, often spanning years. Disclosure typically occurs in fragments, frequently long after the initial encounter with services, and is shaped by safety, trust, and the responses survivors receive from prior helpers. "Resistance" to services is more accurately understood as adaptive self-protection forged during exploitation (Hopper, 2017a; Hickle, 2017).</w:t>
      </w:r>
    </w:p>
    <w:p w14:paraId="7E518A32" w14:textId="77777777" w:rsidR="00B201DF" w:rsidRPr="00D87FB2" w:rsidRDefault="00B201DF" w:rsidP="00B201DF">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5C7B5E58" wp14:editId="03DF3296">
                <wp:extent cx="5943600" cy="635"/>
                <wp:effectExtent l="0" t="0" r="12700" b="24765"/>
                <wp:docPr id="893959593" name="Rectangle 2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9E4608B" id="Rectangle 285"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192FA730" w14:textId="77777777" w:rsidR="00B201DF" w:rsidRPr="00D87FB2" w:rsidRDefault="00B201DF" w:rsidP="00B201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VIII. Service Needs and Intervention Models</w:t>
      </w:r>
    </w:p>
    <w:p w14:paraId="542D9C0D"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Evidence-informed service for trafficking </w:t>
      </w:r>
      <w:proofErr w:type="gramStart"/>
      <w:r w:rsidRPr="00D87FB2">
        <w:rPr>
          <w:rFonts w:ascii="Times New Roman" w:eastAsia="Times New Roman" w:hAnsi="Times New Roman" w:cs="Times New Roman"/>
          <w:kern w:val="0"/>
          <w14:ligatures w14:val="none"/>
        </w:rPr>
        <w:t>survivors</w:t>
      </w:r>
      <w:proofErr w:type="gramEnd"/>
      <w:r w:rsidRPr="00D87FB2">
        <w:rPr>
          <w:rFonts w:ascii="Times New Roman" w:eastAsia="Times New Roman" w:hAnsi="Times New Roman" w:cs="Times New Roman"/>
          <w:kern w:val="0"/>
          <w14:ligatures w14:val="none"/>
        </w:rPr>
        <w:t xml:space="preserve"> rests on three integrated foundations: (a) trauma-informed care principles, (b) survivor-centered and survivor-led practice, and (c) comprehensive coordination across systems (Substance Abuse and Mental Health Services Administration [SAMHSA], 2014; Macy &amp; Johns, 2011; National Survivor Network [NSN], n.d.).</w:t>
      </w:r>
    </w:p>
    <w:p w14:paraId="74C880BA"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SAMHSA's (2014) framework specifies six guiding principles for a trauma-informed approach: (1) safety; (2) trustworthiness and transparency; (3) peer support; (4) collaboration and mutuality; (5) empowerment, voice, and choice; and (6) cultural, historical, and gender issues. These principles are foundational across the trafficking service field and align directly with survivor leadership principles articulated by the National Survivor Network (NSN, n.d.).</w:t>
      </w:r>
    </w:p>
    <w:p w14:paraId="4AFF4FE3"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Core service domains include emergency safety planning and crisis response; short-term and long-term safe housing, including specialized models for adolescent and adult survivors; medical care, including reproductive, dental, and behavioral health; mental health treatment with trauma-specialized clinicians; substance use treatment integrated with trauma care; legal advocacy including immigration, criminal record relief, family law, and restitution; case management and benefits navigation; education and vocational support; financial empowerment; and reintegration into chosen communities (Macy &amp; Johns, 2011; HEAL Trafficking, n.d.; OVC, n.d.).</w:t>
      </w:r>
    </w:p>
    <w:p w14:paraId="3FA89C18"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Healthcare settings warrant particular attention. Multiple studies have found that 28% to 50% of trafficking victims encountered a healthcare professional during their exploitation but were not identified (Lederer &amp; Wetzel, 2014; Chisolm-Straker et al., 2016). HEAL Trafficking's Protocol Toolkit and the PEARR Tool (Provide privacy, Educate, Ask, Respect, and Respond) provide a trauma-informed framework now used by hospital systems and community health centers nationally (HEAL Trafficking, n.d.).</w:t>
      </w:r>
    </w:p>
    <w:p w14:paraId="42791C63"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Housing is consistently identified as the single greatest service gap in the field. Federal and state surveys repeatedly find shortages of trafficking-specialized emergency, transitional, and long-term housing, particularly for adult male survivors, LGBTQ+ survivors, survivors with substance use disorders, survivors with children, and labor trafficking survivors (OVC, n.d.; Polaris Project, n.d.). Promising models include voluntary, choice-based housing with on-site case </w:t>
      </w:r>
      <w:r w:rsidRPr="00D87FB2">
        <w:rPr>
          <w:rFonts w:ascii="Times New Roman" w:eastAsia="Times New Roman" w:hAnsi="Times New Roman" w:cs="Times New Roman"/>
          <w:kern w:val="0"/>
          <w14:ligatures w14:val="none"/>
        </w:rPr>
        <w:lastRenderedPageBreak/>
        <w:t>management; scattered-site housing with mobile services; and housing-first approaches adapted for survivors.</w:t>
      </w:r>
    </w:p>
    <w:p w14:paraId="3B42C95F"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Survivor leadership is increasingly recognized not as a programmatic add-on but as essential to ethical and effective service design. The NSN, the U.S. Advisory Council on Human Trafficking, and the OVC Survivor Engagement Initiative all advance the principle that survivors must shape the policies and programs intended to serve them (NSN, n.d.; OVC, n.d.). Survivor leadership development, peer mentorship, and compensated lived-experience expertise are evidence-aligned investments.</w:t>
      </w:r>
    </w:p>
    <w:p w14:paraId="0C341F53" w14:textId="77777777" w:rsidR="00B201DF" w:rsidRPr="00D87FB2" w:rsidRDefault="00B201DF" w:rsidP="00B201DF">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24A44517" wp14:editId="4CFB375B">
                <wp:extent cx="5943600" cy="635"/>
                <wp:effectExtent l="0" t="0" r="12700" b="24765"/>
                <wp:docPr id="1511244617" name="Rectangle 2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CC430A" id="Rectangle 28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46A27683" w14:textId="77777777" w:rsidR="00B201DF" w:rsidRPr="00D87FB2" w:rsidRDefault="00B201DF" w:rsidP="00B201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IX. Prevention and Public Awareness</w:t>
      </w:r>
    </w:p>
    <w:p w14:paraId="61A964BE"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Effective prevention operates across the social ecology, addressing individual, relational, community, and structural levels (Centers for Disease Control and Prevention [CDC], 2022; ACF, n.d.). Single-strategy approaches—particularly those relying on awareness alone—have limited evidence of reducing victimization and may produce iatrogenic effects when based on inaccurate or fear-driven messaging (Polaris Project, 2020).</w:t>
      </w:r>
    </w:p>
    <w:p w14:paraId="3A8AAF1B"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At the individual and relational level, evidence-informed prevention emphasizes social-emotional learning, healthy-relationship education, digital safety education that focuses on coercion rather than fear of strangers, and trauma-responsive support for children with adverse experiences. School-based curricula such as those developed by Love146 and Shared Hope International have been deployed widely; rigorous outcome evaluation remains limited (Rothman et al., 2021).</w:t>
      </w:r>
    </w:p>
    <w:p w14:paraId="756C6FBA"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At the community level, prevention includes investment in supportive housing, youth employment, after-school programs, mental health services, recovery supports, immigrant integration services, and community policing reforms. At the structural level, prevention requires addressing labor protections, wage enforcement, child welfare reform, foster care prevention, and immigration policy in ways that reduce the conditions traffickers exploit (DOS, 2025).</w:t>
      </w:r>
    </w:p>
    <w:p w14:paraId="5C07395D"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Public awareness messaging should be grounded in accurate data, avoid sensationalized imagery and statistics, refrain from racialized or sexualized depictions of victimization, and direct audiences toward credible response options (Polaris Project, 2020). Faith-based and community-based education can be powerful when messaging is trauma-informed, survivor-reviewed, and rooted in dignity.</w:t>
      </w:r>
    </w:p>
    <w:p w14:paraId="1C309C4C" w14:textId="77777777" w:rsidR="00B201DF" w:rsidRPr="00D87FB2" w:rsidRDefault="00B201DF" w:rsidP="00B201DF">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5C877A25" wp14:editId="5465C059">
                <wp:extent cx="5943600" cy="635"/>
                <wp:effectExtent l="0" t="0" r="12700" b="24765"/>
                <wp:docPr id="330292641" name="Rectangle 2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B1F0DB" id="Rectangle 28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0FE8DE96" w14:textId="77777777" w:rsidR="00B201DF" w:rsidRPr="00D87FB2" w:rsidRDefault="00B201DF" w:rsidP="00B201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X. Relevance to Forged in the Fire</w:t>
      </w:r>
    </w:p>
    <w:p w14:paraId="73AFE533"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lastRenderedPageBreak/>
        <w:t>Forged in the Fire's mission alignment with this body of research is direct. The empirical record supports a survivor-centered nonprofit model focused on long-term recovery, dignity, and structural opportunity rather than rescue narratives or fear-driven outreach.</w:t>
      </w:r>
    </w:p>
    <w:p w14:paraId="3DF8C505"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Specific program connections include (a) </w:t>
      </w:r>
      <w:r w:rsidRPr="00D87FB2">
        <w:rPr>
          <w:rFonts w:ascii="Times New Roman" w:eastAsia="Times New Roman" w:hAnsi="Times New Roman" w:cs="Times New Roman"/>
          <w:b/>
          <w:bCs/>
          <w:kern w:val="0"/>
          <w14:ligatures w14:val="none"/>
        </w:rPr>
        <w:t>safe housing</w:t>
      </w:r>
      <w:r w:rsidRPr="00D87FB2">
        <w:rPr>
          <w:rFonts w:ascii="Times New Roman" w:eastAsia="Times New Roman" w:hAnsi="Times New Roman" w:cs="Times New Roman"/>
          <w:kern w:val="0"/>
          <w14:ligatures w14:val="none"/>
        </w:rPr>
        <w:t xml:space="preserve">, which the literature consistently identifies as the highest-leverage and least-funded need (OVC, n.d.); (b) </w:t>
      </w:r>
      <w:r w:rsidRPr="00D87FB2">
        <w:rPr>
          <w:rFonts w:ascii="Times New Roman" w:eastAsia="Times New Roman" w:hAnsi="Times New Roman" w:cs="Times New Roman"/>
          <w:b/>
          <w:bCs/>
          <w:kern w:val="0"/>
          <w14:ligatures w14:val="none"/>
        </w:rPr>
        <w:t>trauma-informed crisis response and case management</w:t>
      </w:r>
      <w:r w:rsidRPr="00D87FB2">
        <w:rPr>
          <w:rFonts w:ascii="Times New Roman" w:eastAsia="Times New Roman" w:hAnsi="Times New Roman" w:cs="Times New Roman"/>
          <w:kern w:val="0"/>
          <w14:ligatures w14:val="none"/>
        </w:rPr>
        <w:t xml:space="preserve"> built on the SAMHSA principles (SAMHSA, 2014); (c) </w:t>
      </w:r>
      <w:r w:rsidRPr="00D87FB2">
        <w:rPr>
          <w:rFonts w:ascii="Times New Roman" w:eastAsia="Times New Roman" w:hAnsi="Times New Roman" w:cs="Times New Roman"/>
          <w:b/>
          <w:bCs/>
          <w:kern w:val="0"/>
          <w14:ligatures w14:val="none"/>
        </w:rPr>
        <w:t>mental health and substance use care</w:t>
      </w:r>
      <w:r w:rsidRPr="00D87FB2">
        <w:rPr>
          <w:rFonts w:ascii="Times New Roman" w:eastAsia="Times New Roman" w:hAnsi="Times New Roman" w:cs="Times New Roman"/>
          <w:kern w:val="0"/>
          <w14:ligatures w14:val="none"/>
        </w:rPr>
        <w:t xml:space="preserve"> integrated through co-occurring-disorder competent providers (Goldberg et al., 2022; Stoklosa et al., 2020); (d) </w:t>
      </w:r>
      <w:r w:rsidRPr="00D87FB2">
        <w:rPr>
          <w:rFonts w:ascii="Times New Roman" w:eastAsia="Times New Roman" w:hAnsi="Times New Roman" w:cs="Times New Roman"/>
          <w:b/>
          <w:bCs/>
          <w:kern w:val="0"/>
          <w14:ligatures w14:val="none"/>
        </w:rPr>
        <w:t>legal advocacy and referrals</w:t>
      </w:r>
      <w:r w:rsidRPr="00D87FB2">
        <w:rPr>
          <w:rFonts w:ascii="Times New Roman" w:eastAsia="Times New Roman" w:hAnsi="Times New Roman" w:cs="Times New Roman"/>
          <w:kern w:val="0"/>
          <w14:ligatures w14:val="none"/>
        </w:rPr>
        <w:t xml:space="preserve">, including criminal record relief under California Penal Code §§ 236.14–236.15 and immigration relief through T and U visas (Cal. Pen. Code §§ 236.14, 236.15; USCIS, n.d.); (e) </w:t>
      </w:r>
      <w:r w:rsidRPr="00D87FB2">
        <w:rPr>
          <w:rFonts w:ascii="Times New Roman" w:eastAsia="Times New Roman" w:hAnsi="Times New Roman" w:cs="Times New Roman"/>
          <w:b/>
          <w:bCs/>
          <w:kern w:val="0"/>
          <w14:ligatures w14:val="none"/>
        </w:rPr>
        <w:t>education, vocational training, and economic empowerment</w:t>
      </w:r>
      <w:r w:rsidRPr="00D87FB2">
        <w:rPr>
          <w:rFonts w:ascii="Times New Roman" w:eastAsia="Times New Roman" w:hAnsi="Times New Roman" w:cs="Times New Roman"/>
          <w:kern w:val="0"/>
          <w14:ligatures w14:val="none"/>
        </w:rPr>
        <w:t xml:space="preserve">, addressing the financial harm and disrupted human capital common among survivors; (f) </w:t>
      </w:r>
      <w:r w:rsidRPr="00D87FB2">
        <w:rPr>
          <w:rFonts w:ascii="Times New Roman" w:eastAsia="Times New Roman" w:hAnsi="Times New Roman" w:cs="Times New Roman"/>
          <w:b/>
          <w:bCs/>
          <w:kern w:val="0"/>
          <w14:ligatures w14:val="none"/>
        </w:rPr>
        <w:t>community education and prevention curricula</w:t>
      </w:r>
      <w:r w:rsidRPr="00D87FB2">
        <w:rPr>
          <w:rFonts w:ascii="Times New Roman" w:eastAsia="Times New Roman" w:hAnsi="Times New Roman" w:cs="Times New Roman"/>
          <w:kern w:val="0"/>
          <w14:ligatures w14:val="none"/>
        </w:rPr>
        <w:t xml:space="preserve"> for schools, faith partners, healthcare systems, and employers, anchored in evidence-informed, non-sensationalized messaging; (g) </w:t>
      </w:r>
      <w:r w:rsidRPr="00D87FB2">
        <w:rPr>
          <w:rFonts w:ascii="Times New Roman" w:eastAsia="Times New Roman" w:hAnsi="Times New Roman" w:cs="Times New Roman"/>
          <w:b/>
          <w:bCs/>
          <w:kern w:val="0"/>
          <w14:ligatures w14:val="none"/>
        </w:rPr>
        <w:t>survivor leadership development</w:t>
      </w:r>
      <w:r w:rsidRPr="00D87FB2">
        <w:rPr>
          <w:rFonts w:ascii="Times New Roman" w:eastAsia="Times New Roman" w:hAnsi="Times New Roman" w:cs="Times New Roman"/>
          <w:kern w:val="0"/>
          <w14:ligatures w14:val="none"/>
        </w:rPr>
        <w:t xml:space="preserve">, treating lived expertise as a compensated and structural element of program design (NSN, n.d.); and (h) </w:t>
      </w:r>
      <w:r w:rsidRPr="00D87FB2">
        <w:rPr>
          <w:rFonts w:ascii="Times New Roman" w:eastAsia="Times New Roman" w:hAnsi="Times New Roman" w:cs="Times New Roman"/>
          <w:b/>
          <w:bCs/>
          <w:kern w:val="0"/>
          <w14:ligatures w14:val="none"/>
        </w:rPr>
        <w:t>faith- and community-based partnerships</w:t>
      </w:r>
      <w:r w:rsidRPr="00D87FB2">
        <w:rPr>
          <w:rFonts w:ascii="Times New Roman" w:eastAsia="Times New Roman" w:hAnsi="Times New Roman" w:cs="Times New Roman"/>
          <w:kern w:val="0"/>
          <w14:ligatures w14:val="none"/>
        </w:rPr>
        <w:t xml:space="preserve"> that adhere to trauma-informed and consent-based standards, recognizing both the strengths and the documented risks of religious settings in survivor recovery (Hodge, 2014).</w:t>
      </w:r>
    </w:p>
    <w:p w14:paraId="0BAB3573"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This research base also strengthens grant applications and donor education by enabling Forged in the Fire to demonstrate (</w:t>
      </w:r>
      <w:proofErr w:type="spellStart"/>
      <w:r w:rsidRPr="00D87FB2">
        <w:rPr>
          <w:rFonts w:ascii="Times New Roman" w:eastAsia="Times New Roman" w:hAnsi="Times New Roman" w:cs="Times New Roman"/>
          <w:kern w:val="0"/>
          <w14:ligatures w14:val="none"/>
        </w:rPr>
        <w:t>i</w:t>
      </w:r>
      <w:proofErr w:type="spellEnd"/>
      <w:r w:rsidRPr="00D87FB2">
        <w:rPr>
          <w:rFonts w:ascii="Times New Roman" w:eastAsia="Times New Roman" w:hAnsi="Times New Roman" w:cs="Times New Roman"/>
          <w:kern w:val="0"/>
          <w14:ligatures w14:val="none"/>
        </w:rPr>
        <w:t>) alignment with federal funder priorities, including OVC and ACF; (ii) fidelity to evidence-informed service models; (iii) measurable outcomes consistent with field standards; and (iv) commitment to ethical survivor engagement.</w:t>
      </w:r>
    </w:p>
    <w:p w14:paraId="422E2E15" w14:textId="77777777" w:rsidR="00B201DF" w:rsidRPr="00D87FB2" w:rsidRDefault="00B201DF" w:rsidP="00B201DF">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5E90E72E" wp14:editId="7801A92C">
                <wp:extent cx="5943600" cy="635"/>
                <wp:effectExtent l="0" t="0" r="12700" b="24765"/>
                <wp:docPr id="1966597806" name="Rectangle 2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9FEEA0" id="Rectangle 27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00AAA30A" w14:textId="77777777" w:rsidR="00B201DF" w:rsidRPr="00D87FB2" w:rsidRDefault="00B201DF" w:rsidP="00B201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XI. Ethical Considerations</w:t>
      </w:r>
    </w:p>
    <w:p w14:paraId="2D3D6E15"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Ethical practice in anti-trafficking work centers survivor dignity, autonomy, confidentiality, and the responsible use of survivor narratives. The most widely cited ethical framework is the Survivor-Informed Practice Definition and Recommendations developed by the Office on Trafficking in Persons in collaboration with survivor leaders (ACF Office on Trafficking in Persons [OTIP], 2018). Core commitments include the following.</w:t>
      </w:r>
    </w:p>
    <w:p w14:paraId="28B4DEFE"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Survivors retain authority over their own stories. Sharing details for fundraising, public awareness, or media purposes requires informed, ongoing, and revocable consent; survivors should be compensated for content used in fundraising and should have approval rights over framing and identification (NSN, n.d.; Tipton, 2021). Forged in the Fire should adopt and document a written survivor storytelling and consent policy.</w:t>
      </w:r>
    </w:p>
    <w:p w14:paraId="3DDB8091"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Confidentiality and privacy must be protected through trained staff, secure recordkeeping, restricted access to identifying information, and clear protocols regarding mandated reporting, subpoenas, and civil discovery. Confidentiality assurances should be accurate and never overstated; service providers cannot guarantee outcomes regarding law enforcement involvement.</w:t>
      </w:r>
    </w:p>
    <w:p w14:paraId="28E0050B"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lastRenderedPageBreak/>
        <w:t>Mandated reporting obligations must be communicated clearly at intake; survivors deserve to know what cannot remain confidential before they disclose. Staff must understand California's mandated reporter requirements and the distinction between reporting suspected child abuse and reporting adult survivors' choices.</w:t>
      </w:r>
    </w:p>
    <w:p w14:paraId="352E485F"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Trauma-informed language is essential. Avoid the term "victim" when survivors prefer "survivor" or alternative self-descriptions; avoid voyeuristic or graphic descriptions of exploitation; avoid imagery that is racialized, sexualized, or that reduces survivors to a single narrative; and avoid "savior" framing that centers rescuers rather than survivors' own agency and resilience (Polaris Project, 2020; NSN, n.d.).</w:t>
      </w:r>
    </w:p>
    <w:p w14:paraId="4B9B2207"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Cultural humility requires acknowledgment that trafficking is shaped by racism, colonialism, anti-immigrant policy, and economic inequality, and that responses must be informed by communities most affected. Faith-based organizations bear </w:t>
      </w:r>
      <w:proofErr w:type="gramStart"/>
      <w:r w:rsidRPr="00D87FB2">
        <w:rPr>
          <w:rFonts w:ascii="Times New Roman" w:eastAsia="Times New Roman" w:hAnsi="Times New Roman" w:cs="Times New Roman"/>
          <w:kern w:val="0"/>
          <w14:ligatures w14:val="none"/>
        </w:rPr>
        <w:t>particular responsibility</w:t>
      </w:r>
      <w:proofErr w:type="gramEnd"/>
      <w:r w:rsidRPr="00D87FB2">
        <w:rPr>
          <w:rFonts w:ascii="Times New Roman" w:eastAsia="Times New Roman" w:hAnsi="Times New Roman" w:cs="Times New Roman"/>
          <w:kern w:val="0"/>
          <w14:ligatures w14:val="none"/>
        </w:rPr>
        <w:t xml:space="preserve"> to practice non-coercive spiritual care, separating service eligibility from religious participation.</w:t>
      </w:r>
    </w:p>
    <w:p w14:paraId="19754541"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Finally, ethical work requires non-exploitation of survivor stories for competitive grant or donor advantage; the field has documented harms when organizations have mishandled this responsibility (NSN, n.d.).</w:t>
      </w:r>
    </w:p>
    <w:p w14:paraId="42EE98DE" w14:textId="77777777" w:rsidR="00B201DF" w:rsidRPr="00D87FB2" w:rsidRDefault="00B201DF" w:rsidP="00B201DF">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72C3F88A" wp14:editId="6322B433">
                <wp:extent cx="5943600" cy="635"/>
                <wp:effectExtent l="0" t="0" r="12700" b="24765"/>
                <wp:docPr id="1314901272" name="Rectangle 2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C73ED1" id="Rectangle 27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566B56B6" w14:textId="77777777" w:rsidR="00B201DF" w:rsidRPr="00D87FB2" w:rsidRDefault="00B201DF" w:rsidP="00B201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XII. Gaps and Future Research</w:t>
      </w:r>
    </w:p>
    <w:p w14:paraId="6EEA6AB1"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Several persistent gaps shape the evidence landscape. Population-level prevalence remains poorly measured; the most defensible national estimates rely on indirect methods, and many widely cited statistics have weak methodological foundations (National Academies, 2013; DOS, 2025). Labor trafficking, despite likely greater prevalence, remains substantially underrepresented in U.S. research, prosecution, and service systems relative to sex trafficking (Owens et al., 2014; Polaris Project, 2017).</w:t>
      </w:r>
    </w:p>
    <w:p w14:paraId="320BFBB1"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Service outcome research is limited. Few interventions have been evaluated with randomized or quasi-experimental designs, and longitudinal studies of survivor recovery trajectories are rare (Macy &amp; Johns, 2011; Rothman et al., 2021). Housing models, prevention curricula, and survivor leadership programs are particularly under-studied.</w:t>
      </w:r>
    </w:p>
    <w:p w14:paraId="10C384A7"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Specific populations remain under-researched, including adult male survivors, LGBTQ+ survivors over the lifespan, survivors with disabilities, indigenous survivors, rural survivors, survivors of forced criminality, and survivors of forced marriage. Intersectional analyses are increasing but remain scarce.</w:t>
      </w:r>
    </w:p>
    <w:p w14:paraId="37C4BBDB"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Funding gaps persist throughout the field. Federal anti-trafficking appropriations have grown but remain small relative to need, and survivor services—especially housing and long-term mental health care—are persistently underfunded (OVC, n.d.). Cycles of competitive short-term grant funding hinder the long-term recovery work survivors require.</w:t>
      </w:r>
    </w:p>
    <w:p w14:paraId="11679B73"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lastRenderedPageBreak/>
        <w:t>Legal gaps include inconsistent vacatur and post-conviction relief statutes across states, gaps in restitution enforcement, uneven implementation of the Preventing Sex Trafficking and Strengthening Families Act, and continued tension between criminal-legal and public-health approaches to commercial sexual exploitation.</w:t>
      </w:r>
    </w:p>
    <w:p w14:paraId="4EC34AEA"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Future research priorities widely endorsed in the literature include rigorous outcome evaluation, long-term survivor-led participatory studies, prevalence research using multiple-systems estimation, integration of trafficking surveillance with public health data systems, evaluation of survivor leadership interventions, and continued development of trauma-coercive bonding measures (Rothman et al., 2021; Casassa et al., 2021).</w:t>
      </w:r>
    </w:p>
    <w:p w14:paraId="351DDF6E" w14:textId="77777777" w:rsidR="00B201DF" w:rsidRPr="00D87FB2" w:rsidRDefault="00B201DF" w:rsidP="00B201DF">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45680249" wp14:editId="422C8ABA">
                <wp:extent cx="5943600" cy="635"/>
                <wp:effectExtent l="0" t="0" r="12700" b="24765"/>
                <wp:docPr id="70841189" name="Rectangle 2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2B9B5D" id="Rectangle 275"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5611526E" w14:textId="77777777" w:rsidR="00B201DF" w:rsidRPr="00D87FB2" w:rsidRDefault="00B201DF" w:rsidP="00B201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XIII. Recommendations</w:t>
      </w:r>
    </w:p>
    <w:p w14:paraId="71942D22"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For nonprofit leaders and Forged in the Fire program staff, the following recommendations align with the evidence base.</w:t>
      </w:r>
    </w:p>
    <w:p w14:paraId="5C947620"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First, </w:t>
      </w:r>
      <w:r w:rsidRPr="00D87FB2">
        <w:rPr>
          <w:rFonts w:ascii="Times New Roman" w:eastAsia="Times New Roman" w:hAnsi="Times New Roman" w:cs="Times New Roman"/>
          <w:b/>
          <w:bCs/>
          <w:kern w:val="0"/>
          <w14:ligatures w14:val="none"/>
        </w:rPr>
        <w:t>anchor program design in trauma-informed and survivor-centered frameworks</w:t>
      </w:r>
      <w:r w:rsidRPr="00D87FB2">
        <w:rPr>
          <w:rFonts w:ascii="Times New Roman" w:eastAsia="Times New Roman" w:hAnsi="Times New Roman" w:cs="Times New Roman"/>
          <w:kern w:val="0"/>
          <w14:ligatures w14:val="none"/>
        </w:rPr>
        <w:t xml:space="preserve"> explicitly modeled on SAMHSA's six principles and OTIP's Survivor-Informed Practice recommendations. Document these in policy and training.</w:t>
      </w:r>
    </w:p>
    <w:p w14:paraId="46847E5E"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Second, </w:t>
      </w:r>
      <w:r w:rsidRPr="00D87FB2">
        <w:rPr>
          <w:rFonts w:ascii="Times New Roman" w:eastAsia="Times New Roman" w:hAnsi="Times New Roman" w:cs="Times New Roman"/>
          <w:b/>
          <w:bCs/>
          <w:kern w:val="0"/>
          <w14:ligatures w14:val="none"/>
        </w:rPr>
        <w:t>invest in housing</w:t>
      </w:r>
      <w:r w:rsidRPr="00D87FB2">
        <w:rPr>
          <w:rFonts w:ascii="Times New Roman" w:eastAsia="Times New Roman" w:hAnsi="Times New Roman" w:cs="Times New Roman"/>
          <w:kern w:val="0"/>
          <w14:ligatures w14:val="none"/>
        </w:rPr>
        <w:t>, recognizing it as the field's most consistent and severe service gap. Where direct provision is not feasible, develop strong housing partnerships and prioritize transition support.</w:t>
      </w:r>
    </w:p>
    <w:p w14:paraId="63F0C6B2"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Third, </w:t>
      </w:r>
      <w:r w:rsidRPr="00D87FB2">
        <w:rPr>
          <w:rFonts w:ascii="Times New Roman" w:eastAsia="Times New Roman" w:hAnsi="Times New Roman" w:cs="Times New Roman"/>
          <w:b/>
          <w:bCs/>
          <w:kern w:val="0"/>
          <w14:ligatures w14:val="none"/>
        </w:rPr>
        <w:t>integrate behavioral health and substance use treatment</w:t>
      </w:r>
      <w:r w:rsidRPr="00D87FB2">
        <w:rPr>
          <w:rFonts w:ascii="Times New Roman" w:eastAsia="Times New Roman" w:hAnsi="Times New Roman" w:cs="Times New Roman"/>
          <w:kern w:val="0"/>
          <w14:ligatures w14:val="none"/>
        </w:rPr>
        <w:t xml:space="preserve"> through formal partnerships with co-occurring-disorder competent providers, recognizing the evidence on bidirectional substance use pathways.</w:t>
      </w:r>
    </w:p>
    <w:p w14:paraId="27037FBF"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Fourth, </w:t>
      </w:r>
      <w:r w:rsidRPr="00D87FB2">
        <w:rPr>
          <w:rFonts w:ascii="Times New Roman" w:eastAsia="Times New Roman" w:hAnsi="Times New Roman" w:cs="Times New Roman"/>
          <w:b/>
          <w:bCs/>
          <w:kern w:val="0"/>
          <w14:ligatures w14:val="none"/>
        </w:rPr>
        <w:t>build legal partnerships</w:t>
      </w:r>
      <w:r w:rsidRPr="00D87FB2">
        <w:rPr>
          <w:rFonts w:ascii="Times New Roman" w:eastAsia="Times New Roman" w:hAnsi="Times New Roman" w:cs="Times New Roman"/>
          <w:kern w:val="0"/>
          <w14:ligatures w14:val="none"/>
        </w:rPr>
        <w:t xml:space="preserve"> that include immigration relief (T and U visas), California Penal Code §§ 236.14–236.15 vacatur relief, restitution enforcement, civil remedies, and family law.</w:t>
      </w:r>
    </w:p>
    <w:p w14:paraId="4C487723"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Fifth, </w:t>
      </w:r>
      <w:r w:rsidRPr="00D87FB2">
        <w:rPr>
          <w:rFonts w:ascii="Times New Roman" w:eastAsia="Times New Roman" w:hAnsi="Times New Roman" w:cs="Times New Roman"/>
          <w:b/>
          <w:bCs/>
          <w:kern w:val="0"/>
          <w14:ligatures w14:val="none"/>
        </w:rPr>
        <w:t>operationalize survivor leadership</w:t>
      </w:r>
      <w:r w:rsidRPr="00D87FB2">
        <w:rPr>
          <w:rFonts w:ascii="Times New Roman" w:eastAsia="Times New Roman" w:hAnsi="Times New Roman" w:cs="Times New Roman"/>
          <w:kern w:val="0"/>
          <w14:ligatures w14:val="none"/>
        </w:rPr>
        <w:t xml:space="preserve"> through compensated lived-experience roles, advisory structures with real authority, and survivor voice in program evaluation and storytelling decisions.</w:t>
      </w:r>
    </w:p>
    <w:p w14:paraId="130F4EC3"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Sixth, </w:t>
      </w:r>
      <w:r w:rsidRPr="00D87FB2">
        <w:rPr>
          <w:rFonts w:ascii="Times New Roman" w:eastAsia="Times New Roman" w:hAnsi="Times New Roman" w:cs="Times New Roman"/>
          <w:b/>
          <w:bCs/>
          <w:kern w:val="0"/>
          <w14:ligatures w14:val="none"/>
        </w:rPr>
        <w:t>adopt an ethical storytelling and consent policy</w:t>
      </w:r>
      <w:r w:rsidRPr="00D87FB2">
        <w:rPr>
          <w:rFonts w:ascii="Times New Roman" w:eastAsia="Times New Roman" w:hAnsi="Times New Roman" w:cs="Times New Roman"/>
          <w:kern w:val="0"/>
          <w14:ligatures w14:val="none"/>
        </w:rPr>
        <w:t xml:space="preserve"> with revocable, written, informed consent, compensation, and survivor approval rights over how stories are used.</w:t>
      </w:r>
    </w:p>
    <w:p w14:paraId="4D4D4889"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Seventh, </w:t>
      </w:r>
      <w:r w:rsidRPr="00D87FB2">
        <w:rPr>
          <w:rFonts w:ascii="Times New Roman" w:eastAsia="Times New Roman" w:hAnsi="Times New Roman" w:cs="Times New Roman"/>
          <w:b/>
          <w:bCs/>
          <w:kern w:val="0"/>
          <w14:ligatures w14:val="none"/>
        </w:rPr>
        <w:t>partner with healthcare and child welfare systems</w:t>
      </w:r>
      <w:r w:rsidRPr="00D87FB2">
        <w:rPr>
          <w:rFonts w:ascii="Times New Roman" w:eastAsia="Times New Roman" w:hAnsi="Times New Roman" w:cs="Times New Roman"/>
          <w:kern w:val="0"/>
          <w14:ligatures w14:val="none"/>
        </w:rPr>
        <w:t xml:space="preserve"> using established protocols (HEAL Trafficking, NHTTAC SOAR) to support identification and response.</w:t>
      </w:r>
    </w:p>
    <w:p w14:paraId="28E4845E"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Eighth, </w:t>
      </w:r>
      <w:r w:rsidRPr="00D87FB2">
        <w:rPr>
          <w:rFonts w:ascii="Times New Roman" w:eastAsia="Times New Roman" w:hAnsi="Times New Roman" w:cs="Times New Roman"/>
          <w:b/>
          <w:bCs/>
          <w:kern w:val="0"/>
          <w14:ligatures w14:val="none"/>
        </w:rPr>
        <w:t>develop community education</w:t>
      </w:r>
      <w:r w:rsidRPr="00D87FB2">
        <w:rPr>
          <w:rFonts w:ascii="Times New Roman" w:eastAsia="Times New Roman" w:hAnsi="Times New Roman" w:cs="Times New Roman"/>
          <w:kern w:val="0"/>
          <w14:ligatures w14:val="none"/>
        </w:rPr>
        <w:t xml:space="preserve"> that is evidence-based, non-sensationalized, and aligned with credible federal, academic, and Polaris messaging.</w:t>
      </w:r>
    </w:p>
    <w:p w14:paraId="61B6C065"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lastRenderedPageBreak/>
        <w:t xml:space="preserve">Ninth, </w:t>
      </w:r>
      <w:r w:rsidRPr="00D87FB2">
        <w:rPr>
          <w:rFonts w:ascii="Times New Roman" w:eastAsia="Times New Roman" w:hAnsi="Times New Roman" w:cs="Times New Roman"/>
          <w:b/>
          <w:bCs/>
          <w:kern w:val="0"/>
          <w14:ligatures w14:val="none"/>
        </w:rPr>
        <w:t>collect and use data ethically</w:t>
      </w:r>
      <w:r w:rsidRPr="00D87FB2">
        <w:rPr>
          <w:rFonts w:ascii="Times New Roman" w:eastAsia="Times New Roman" w:hAnsi="Times New Roman" w:cs="Times New Roman"/>
          <w:kern w:val="0"/>
          <w14:ligatures w14:val="none"/>
        </w:rPr>
        <w:t xml:space="preserve"> to support program improvement and grant accountability while protecting confidentiality and avoiding extractive research.</w:t>
      </w:r>
    </w:p>
    <w:p w14:paraId="3AFFD003"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Tenth, </w:t>
      </w:r>
      <w:r w:rsidRPr="00D87FB2">
        <w:rPr>
          <w:rFonts w:ascii="Times New Roman" w:eastAsia="Times New Roman" w:hAnsi="Times New Roman" w:cs="Times New Roman"/>
          <w:b/>
          <w:bCs/>
          <w:kern w:val="0"/>
          <w14:ligatures w14:val="none"/>
        </w:rPr>
        <w:t>engage with policy</w:t>
      </w:r>
      <w:r w:rsidRPr="00D87FB2">
        <w:rPr>
          <w:rFonts w:ascii="Times New Roman" w:eastAsia="Times New Roman" w:hAnsi="Times New Roman" w:cs="Times New Roman"/>
          <w:kern w:val="0"/>
          <w14:ligatures w14:val="none"/>
        </w:rPr>
        <w:t xml:space="preserve"> at state and federal levels in coalition with survivor-led and broader anti-trafficking organizations, supporting funding, vacatur, restitution, housing, and labor protection improvements.</w:t>
      </w:r>
    </w:p>
    <w:p w14:paraId="02DBDD75" w14:textId="77777777" w:rsidR="00B201DF" w:rsidRPr="00D87FB2" w:rsidRDefault="00B201DF" w:rsidP="00B201DF">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41D2E41A" wp14:editId="52858DD0">
                <wp:extent cx="5943600" cy="635"/>
                <wp:effectExtent l="0" t="0" r="12700" b="24765"/>
                <wp:docPr id="1216710272" name="Rectangle 2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2C1366" id="Rectangle 27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47CB873A" w14:textId="77777777" w:rsidR="00B201DF" w:rsidRPr="00D87FB2" w:rsidRDefault="00B201DF" w:rsidP="00B201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XIV. Conclusion</w:t>
      </w:r>
    </w:p>
    <w:p w14:paraId="660F9EFA"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Human trafficking is a multidimensional violation of human rights, civil rights, labor rights, and child welfare protections, and it is most effectively addressed through evidence-informed, trauma-informed, and survivor-centered approaches. The empirical record affirms that traffickers exploit unmet needs and structural inequities; that recovery is long, non-linear, and deeply individual; that service systems must be coordinated, voluntary, and rooted in survivor authority; and that prevention requires investment in the conditions that make exploitation possible in the first place.</w:t>
      </w:r>
    </w:p>
    <w:p w14:paraId="0052C4AD"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For Forged in the Fire, the path forward is one of disciplined humility and durable commitment. The organization's strongest contribution will not be drama or spectacle but the steady provision of safety, opportunity, dignity, and partnership—shaped by survivors, grounded in research, and held to the highest ethical standards. This foundational paper is intended as a stable base from which subsequent topical research can be built.</w:t>
      </w:r>
    </w:p>
    <w:p w14:paraId="024FCAE3" w14:textId="77777777" w:rsidR="00B201DF" w:rsidRPr="00D87FB2" w:rsidRDefault="00B201DF" w:rsidP="00B201DF">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689E52A1" wp14:editId="1CD4E42D">
                <wp:extent cx="5943600" cy="635"/>
                <wp:effectExtent l="0" t="0" r="12700" b="24765"/>
                <wp:docPr id="1265831011" name="Rectangle 2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4C70AD3" id="Rectangle 27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4A27161F" w14:textId="77777777" w:rsidR="00B201DF" w:rsidRPr="00D87FB2" w:rsidRDefault="00B201DF" w:rsidP="00B201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Annotated Bibliography</w:t>
      </w:r>
    </w:p>
    <w:p w14:paraId="58887931"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Administration for Children and Families (ACF). (n.d.). </w:t>
      </w:r>
      <w:r w:rsidRPr="00D87FB2">
        <w:rPr>
          <w:rFonts w:ascii="Times New Roman" w:eastAsia="Times New Roman" w:hAnsi="Times New Roman" w:cs="Times New Roman"/>
          <w:b/>
          <w:bCs/>
          <w:i/>
          <w:iCs/>
          <w:kern w:val="0"/>
          <w14:ligatures w14:val="none"/>
        </w:rPr>
        <w:t>Fact sheet: Human trafficking</w:t>
      </w:r>
      <w:r w:rsidRPr="00D87FB2">
        <w:rPr>
          <w:rFonts w:ascii="Times New Roman" w:eastAsia="Times New Roman" w:hAnsi="Times New Roman" w:cs="Times New Roman"/>
          <w:b/>
          <w:bCs/>
          <w:kern w:val="0"/>
          <w14:ligatures w14:val="none"/>
        </w:rPr>
        <w:t>. U.S. Department of Health and Human Services. https://www.acf.hhs.gov/otip/fact-sheet/resource/fshumantrafficking</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Federal agency with primary jurisdiction over services to certified victims and lead administrative role for OTIP. Authoritative for service framework, Certification, and benefits.</w:t>
      </w:r>
    </w:p>
    <w:p w14:paraId="069E33D5"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ACF Office on Trafficking in Persons (OTIP). (2018). </w:t>
      </w:r>
      <w:r w:rsidRPr="00D87FB2">
        <w:rPr>
          <w:rFonts w:ascii="Times New Roman" w:eastAsia="Times New Roman" w:hAnsi="Times New Roman" w:cs="Times New Roman"/>
          <w:b/>
          <w:bCs/>
          <w:i/>
          <w:iCs/>
          <w:kern w:val="0"/>
          <w14:ligatures w14:val="none"/>
        </w:rPr>
        <w:t>Survivor-informed practice: Definition, best practices, and recommendations</w:t>
      </w:r>
      <w:r w:rsidRPr="00D87FB2">
        <w:rPr>
          <w:rFonts w:ascii="Times New Roman" w:eastAsia="Times New Roman" w:hAnsi="Times New Roman" w:cs="Times New Roman"/>
          <w:b/>
          <w:bCs/>
          <w:kern w:val="0"/>
          <w14:ligatures w14:val="none"/>
        </w:rPr>
        <w:t>. https://www.acf.hhs.gov/otip</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Co-developed with survivor leaders and field experts; the foundational federal articulation of survivor-informed practice now embedded across ACF and OVC funding.</w:t>
      </w:r>
    </w:p>
    <w:p w14:paraId="7E371C7C"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California Office of the Attorney General. (2023). </w:t>
      </w:r>
      <w:r w:rsidRPr="00D87FB2">
        <w:rPr>
          <w:rFonts w:ascii="Times New Roman" w:eastAsia="Times New Roman" w:hAnsi="Times New Roman" w:cs="Times New Roman"/>
          <w:b/>
          <w:bCs/>
          <w:i/>
          <w:iCs/>
          <w:kern w:val="0"/>
          <w14:ligatures w14:val="none"/>
        </w:rPr>
        <w:t>Penal Code Section 236.14 &amp; 236.15 vacatur relief toolkit</w:t>
      </w:r>
      <w:r w:rsidRPr="00D87FB2">
        <w:rPr>
          <w:rFonts w:ascii="Times New Roman" w:eastAsia="Times New Roman" w:hAnsi="Times New Roman" w:cs="Times New Roman"/>
          <w:b/>
          <w:bCs/>
          <w:kern w:val="0"/>
          <w14:ligatures w14:val="none"/>
        </w:rPr>
        <w:t>. https://oag.ca.gov/system/files/attachments/press-docs/Vacatur%20Toolkit.pdf</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Official California Department of Justice guidance on vacatur relief for trafficking survivors; </w:t>
      </w:r>
      <w:proofErr w:type="gramStart"/>
      <w:r w:rsidRPr="00D87FB2">
        <w:rPr>
          <w:rFonts w:ascii="Times New Roman" w:eastAsia="Times New Roman" w:hAnsi="Times New Roman" w:cs="Times New Roman"/>
          <w:kern w:val="0"/>
          <w14:ligatures w14:val="none"/>
        </w:rPr>
        <w:t>load-bearing</w:t>
      </w:r>
      <w:proofErr w:type="gramEnd"/>
      <w:r w:rsidRPr="00D87FB2">
        <w:rPr>
          <w:rFonts w:ascii="Times New Roman" w:eastAsia="Times New Roman" w:hAnsi="Times New Roman" w:cs="Times New Roman"/>
          <w:kern w:val="0"/>
          <w14:ligatures w14:val="none"/>
        </w:rPr>
        <w:t xml:space="preserve"> for legal-advocacy programming in California.</w:t>
      </w:r>
    </w:p>
    <w:p w14:paraId="234CC466"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lastRenderedPageBreak/>
        <w:t>California Penal Code § 236.1 (2023). https://leginfo.legislature.ca.gov/faces/codes_displaySection.xhtml?sectionNum=236.1.&amp;lawCode=PEN</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Primary California criminal statute on human trafficking; required citation for any California-jurisdiction legal claims.</w:t>
      </w:r>
    </w:p>
    <w:p w14:paraId="53174090"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Casassa, K., Knight, L., &amp; Mengo, C. (2021). Trauma bonding perspectives from service providers and survivors of sex trafficking: A scoping review. </w:t>
      </w:r>
      <w:r w:rsidRPr="00D87FB2">
        <w:rPr>
          <w:rFonts w:ascii="Times New Roman" w:eastAsia="Times New Roman" w:hAnsi="Times New Roman" w:cs="Times New Roman"/>
          <w:b/>
          <w:bCs/>
          <w:i/>
          <w:iCs/>
          <w:kern w:val="0"/>
          <w14:ligatures w14:val="none"/>
        </w:rPr>
        <w:t>Trauma, Violence, &amp; Abuse, 23</w:t>
      </w:r>
      <w:r w:rsidRPr="00D87FB2">
        <w:rPr>
          <w:rFonts w:ascii="Times New Roman" w:eastAsia="Times New Roman" w:hAnsi="Times New Roman" w:cs="Times New Roman"/>
          <w:b/>
          <w:bCs/>
          <w:kern w:val="0"/>
          <w14:ligatures w14:val="none"/>
        </w:rPr>
        <w:t>(3), 969–984. https://pubmed.ncbi.nlm.nih.gov/33455528/</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scoping review in a leading trauma-violence journal. Synthesizes provider and survivor perspectives on trauma bonding.</w:t>
      </w:r>
    </w:p>
    <w:p w14:paraId="3E14C767"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Centers for Disease Control and Prevention (CDC). (2022). </w:t>
      </w:r>
      <w:r w:rsidRPr="00D87FB2">
        <w:rPr>
          <w:rFonts w:ascii="Times New Roman" w:eastAsia="Times New Roman" w:hAnsi="Times New Roman" w:cs="Times New Roman"/>
          <w:b/>
          <w:bCs/>
          <w:i/>
          <w:iCs/>
          <w:kern w:val="0"/>
          <w14:ligatures w14:val="none"/>
        </w:rPr>
        <w:t>Preventing adverse childhood experiences</w:t>
      </w:r>
      <w:r w:rsidRPr="00D87FB2">
        <w:rPr>
          <w:rFonts w:ascii="Times New Roman" w:eastAsia="Times New Roman" w:hAnsi="Times New Roman" w:cs="Times New Roman"/>
          <w:b/>
          <w:bCs/>
          <w:kern w:val="0"/>
          <w14:ligatures w14:val="none"/>
        </w:rPr>
        <w:t>. https://www.cdc.gov/violenceprevention/aces/index.html</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Authoritative federal public health agency; ACEs research is foundational to trafficking prevention frameworks.</w:t>
      </w:r>
    </w:p>
    <w:p w14:paraId="3E329442"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Chisolm-Straker, M., Baldwin, S., </w:t>
      </w:r>
      <w:proofErr w:type="spellStart"/>
      <w:r w:rsidRPr="00D87FB2">
        <w:rPr>
          <w:rFonts w:ascii="Times New Roman" w:eastAsia="Times New Roman" w:hAnsi="Times New Roman" w:cs="Times New Roman"/>
          <w:b/>
          <w:bCs/>
          <w:kern w:val="0"/>
          <w14:ligatures w14:val="none"/>
        </w:rPr>
        <w:t>Gaïgbé-Togbé</w:t>
      </w:r>
      <w:proofErr w:type="spellEnd"/>
      <w:r w:rsidRPr="00D87FB2">
        <w:rPr>
          <w:rFonts w:ascii="Times New Roman" w:eastAsia="Times New Roman" w:hAnsi="Times New Roman" w:cs="Times New Roman"/>
          <w:b/>
          <w:bCs/>
          <w:kern w:val="0"/>
          <w14:ligatures w14:val="none"/>
        </w:rPr>
        <w:t xml:space="preserve">, B., Ndukwe, N., Johnson, P. N., &amp; Richardson, L. D. (2016). Health care and human trafficking: We are seeing the unseen. </w:t>
      </w:r>
      <w:r w:rsidRPr="00D87FB2">
        <w:rPr>
          <w:rFonts w:ascii="Times New Roman" w:eastAsia="Times New Roman" w:hAnsi="Times New Roman" w:cs="Times New Roman"/>
          <w:b/>
          <w:bCs/>
          <w:i/>
          <w:iCs/>
          <w:kern w:val="0"/>
          <w14:ligatures w14:val="none"/>
        </w:rPr>
        <w:t>Journal of Health Care for the Poor and Underserved, 27</w:t>
      </w:r>
      <w:r w:rsidRPr="00D87FB2">
        <w:rPr>
          <w:rFonts w:ascii="Times New Roman" w:eastAsia="Times New Roman" w:hAnsi="Times New Roman" w:cs="Times New Roman"/>
          <w:b/>
          <w:bCs/>
          <w:kern w:val="0"/>
          <w14:ligatures w14:val="none"/>
        </w:rPr>
        <w:t>(3), 1220–1233.</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empirical study widely cited for the finding that a substantial portion of trafficking victims encounter healthcare during exploitation.</w:t>
      </w:r>
    </w:p>
    <w:p w14:paraId="356E79A6"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Covenant House. (2018). </w:t>
      </w:r>
      <w:r w:rsidRPr="00D87FB2">
        <w:rPr>
          <w:rFonts w:ascii="Times New Roman" w:eastAsia="Times New Roman" w:hAnsi="Times New Roman" w:cs="Times New Roman"/>
          <w:b/>
          <w:bCs/>
          <w:i/>
          <w:iCs/>
          <w:kern w:val="0"/>
          <w14:ligatures w14:val="none"/>
        </w:rPr>
        <w:t>Human trafficking among homeless youth: A multi-city study</w:t>
      </w:r>
      <w:r w:rsidRPr="00D87FB2">
        <w:rPr>
          <w:rFonts w:ascii="Times New Roman" w:eastAsia="Times New Roman" w:hAnsi="Times New Roman" w:cs="Times New Roman"/>
          <w:b/>
          <w:bCs/>
          <w:kern w:val="0"/>
          <w14:ligatures w14:val="none"/>
        </w:rPr>
        <w:t>. https://www.covenanthouse.org/homeless-issues/human-trafficking</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Multi-site research collaboration with University of Pennsylvania and Loyola University New Orleans; one of the largest U.S. studies on trafficking among unhoused youth.</w:t>
      </w:r>
    </w:p>
    <w:p w14:paraId="6A3DAEB1"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Goldberg, A. P., Moore, J. L., Houck, C., Kaplan, D. M., &amp; Barron, C. E. (2022). Patterns of polysubstance use disorder among human trafficking survivors. </w:t>
      </w:r>
      <w:r w:rsidRPr="00D87FB2">
        <w:rPr>
          <w:rFonts w:ascii="Times New Roman" w:eastAsia="Times New Roman" w:hAnsi="Times New Roman" w:cs="Times New Roman"/>
          <w:b/>
          <w:bCs/>
          <w:i/>
          <w:iCs/>
          <w:kern w:val="0"/>
          <w14:ligatures w14:val="none"/>
        </w:rPr>
        <w:t>Journal of Substance Use and Addiction Treatment</w:t>
      </w:r>
      <w:r w:rsidRPr="00D87FB2">
        <w:rPr>
          <w:rFonts w:ascii="Times New Roman" w:eastAsia="Times New Roman" w:hAnsi="Times New Roman" w:cs="Times New Roman"/>
          <w:b/>
          <w:bCs/>
          <w:kern w:val="0"/>
          <w14:ligatures w14:val="none"/>
        </w:rPr>
        <w:t>. https://pmc.ncbi.nlm.nih.gov/articles/PMC12720257/</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empirical analysis of substance </w:t>
      </w:r>
      <w:proofErr w:type="gramStart"/>
      <w:r w:rsidRPr="00D87FB2">
        <w:rPr>
          <w:rFonts w:ascii="Times New Roman" w:eastAsia="Times New Roman" w:hAnsi="Times New Roman" w:cs="Times New Roman"/>
          <w:kern w:val="0"/>
          <w14:ligatures w14:val="none"/>
        </w:rPr>
        <w:t>use</w:t>
      </w:r>
      <w:proofErr w:type="gramEnd"/>
      <w:r w:rsidRPr="00D87FB2">
        <w:rPr>
          <w:rFonts w:ascii="Times New Roman" w:eastAsia="Times New Roman" w:hAnsi="Times New Roman" w:cs="Times New Roman"/>
          <w:kern w:val="0"/>
          <w14:ligatures w14:val="none"/>
        </w:rPr>
        <w:t xml:space="preserve"> patterns among survivors using clinical data.</w:t>
      </w:r>
    </w:p>
    <w:p w14:paraId="5B63B0E3"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HEAL Trafficking. (n.d.). </w:t>
      </w:r>
      <w:r w:rsidRPr="00D87FB2">
        <w:rPr>
          <w:rFonts w:ascii="Times New Roman" w:eastAsia="Times New Roman" w:hAnsi="Times New Roman" w:cs="Times New Roman"/>
          <w:b/>
          <w:bCs/>
          <w:i/>
          <w:iCs/>
          <w:kern w:val="0"/>
          <w14:ligatures w14:val="none"/>
        </w:rPr>
        <w:t>Protocol toolkit and PEARR tool</w:t>
      </w:r>
      <w:r w:rsidRPr="00D87FB2">
        <w:rPr>
          <w:rFonts w:ascii="Times New Roman" w:eastAsia="Times New Roman" w:hAnsi="Times New Roman" w:cs="Times New Roman"/>
          <w:b/>
          <w:bCs/>
          <w:kern w:val="0"/>
          <w14:ligatures w14:val="none"/>
        </w:rPr>
        <w:t>. https://www.healtrafficking.org/</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Field-leading public-health-oriented anti-trafficking coalition of clinicians and researchers; PEARR is widely adopted in healthcare protocols.</w:t>
      </w:r>
    </w:p>
    <w:p w14:paraId="1A85E695"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Hodge, D. R. (2014). Sexual trafficking in the United States: A domestic problem with transnational dimensions. </w:t>
      </w:r>
      <w:r w:rsidRPr="00D87FB2">
        <w:rPr>
          <w:rFonts w:ascii="Times New Roman" w:eastAsia="Times New Roman" w:hAnsi="Times New Roman" w:cs="Times New Roman"/>
          <w:b/>
          <w:bCs/>
          <w:i/>
          <w:iCs/>
          <w:kern w:val="0"/>
          <w14:ligatures w14:val="none"/>
        </w:rPr>
        <w:t>Social Work, 59</w:t>
      </w:r>
      <w:r w:rsidRPr="00D87FB2">
        <w:rPr>
          <w:rFonts w:ascii="Times New Roman" w:eastAsia="Times New Roman" w:hAnsi="Times New Roman" w:cs="Times New Roman"/>
          <w:b/>
          <w:bCs/>
          <w:kern w:val="0"/>
          <w14:ligatures w14:val="none"/>
        </w:rPr>
        <w:t>(2), 155–162.</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social work scholarship treating spirituality and trafficking; relevant for faith-based partner work.</w:t>
      </w:r>
    </w:p>
    <w:p w14:paraId="1DEBAE1C"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Hopper, E. K. (2017a). </w:t>
      </w:r>
      <w:proofErr w:type="spellStart"/>
      <w:r w:rsidRPr="00D87FB2">
        <w:rPr>
          <w:rFonts w:ascii="Times New Roman" w:eastAsia="Times New Roman" w:hAnsi="Times New Roman" w:cs="Times New Roman"/>
          <w:b/>
          <w:bCs/>
          <w:kern w:val="0"/>
          <w14:ligatures w14:val="none"/>
        </w:rPr>
        <w:t>Polyvictimization</w:t>
      </w:r>
      <w:proofErr w:type="spellEnd"/>
      <w:r w:rsidRPr="00D87FB2">
        <w:rPr>
          <w:rFonts w:ascii="Times New Roman" w:eastAsia="Times New Roman" w:hAnsi="Times New Roman" w:cs="Times New Roman"/>
          <w:b/>
          <w:bCs/>
          <w:kern w:val="0"/>
          <w14:ligatures w14:val="none"/>
        </w:rPr>
        <w:t xml:space="preserve"> and developmental trauma adaptations in sex trafficked youth. </w:t>
      </w:r>
      <w:r w:rsidRPr="00D87FB2">
        <w:rPr>
          <w:rFonts w:ascii="Times New Roman" w:eastAsia="Times New Roman" w:hAnsi="Times New Roman" w:cs="Times New Roman"/>
          <w:b/>
          <w:bCs/>
          <w:i/>
          <w:iCs/>
          <w:kern w:val="0"/>
          <w14:ligatures w14:val="none"/>
        </w:rPr>
        <w:t>Journal of Child &amp; Adolescent Trauma, 10</w:t>
      </w:r>
      <w:r w:rsidRPr="00D87FB2">
        <w:rPr>
          <w:rFonts w:ascii="Times New Roman" w:eastAsia="Times New Roman" w:hAnsi="Times New Roman" w:cs="Times New Roman"/>
          <w:b/>
          <w:bCs/>
          <w:kern w:val="0"/>
          <w14:ligatures w14:val="none"/>
        </w:rPr>
        <w:t>(2), 161–173.</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empirical study on developmental trauma adaptations specific to trafficked youth; widely cited.</w:t>
      </w:r>
    </w:p>
    <w:p w14:paraId="758322B0"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lastRenderedPageBreak/>
        <w:t xml:space="preserve">Hopper, E. K. (2017b). Trauma-informed treatment of substance </w:t>
      </w:r>
      <w:proofErr w:type="gramStart"/>
      <w:r w:rsidRPr="00D87FB2">
        <w:rPr>
          <w:rFonts w:ascii="Times New Roman" w:eastAsia="Times New Roman" w:hAnsi="Times New Roman" w:cs="Times New Roman"/>
          <w:b/>
          <w:bCs/>
          <w:kern w:val="0"/>
          <w14:ligatures w14:val="none"/>
        </w:rPr>
        <w:t>use</w:t>
      </w:r>
      <w:proofErr w:type="gramEnd"/>
      <w:r w:rsidRPr="00D87FB2">
        <w:rPr>
          <w:rFonts w:ascii="Times New Roman" w:eastAsia="Times New Roman" w:hAnsi="Times New Roman" w:cs="Times New Roman"/>
          <w:b/>
          <w:bCs/>
          <w:kern w:val="0"/>
          <w14:ligatures w14:val="none"/>
        </w:rPr>
        <w:t xml:space="preserve"> disorders in trafficking survivors. In M. Chisolm-Straker &amp; H. Stoklosa (Eds.), </w:t>
      </w:r>
      <w:r w:rsidRPr="00D87FB2">
        <w:rPr>
          <w:rFonts w:ascii="Times New Roman" w:eastAsia="Times New Roman" w:hAnsi="Times New Roman" w:cs="Times New Roman"/>
          <w:b/>
          <w:bCs/>
          <w:i/>
          <w:iCs/>
          <w:kern w:val="0"/>
          <w14:ligatures w14:val="none"/>
        </w:rPr>
        <w:t>Human trafficking is a public health issue</w:t>
      </w:r>
      <w:r w:rsidRPr="00D87FB2">
        <w:rPr>
          <w:rFonts w:ascii="Times New Roman" w:eastAsia="Times New Roman" w:hAnsi="Times New Roman" w:cs="Times New Roman"/>
          <w:b/>
          <w:bCs/>
          <w:kern w:val="0"/>
          <w14:ligatures w14:val="none"/>
        </w:rPr>
        <w:t xml:space="preserve"> (pp. 211–230). Springer.</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Chapter in a leading public-health-framed academic volume on trafficking by interdisciplinary clinical and research authors.</w:t>
      </w:r>
    </w:p>
    <w:p w14:paraId="42D6B4D2"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International </w:t>
      </w:r>
      <w:proofErr w:type="spellStart"/>
      <w:r w:rsidRPr="00D87FB2">
        <w:rPr>
          <w:rFonts w:ascii="Times New Roman" w:eastAsia="Times New Roman" w:hAnsi="Times New Roman" w:cs="Times New Roman"/>
          <w:b/>
          <w:bCs/>
          <w:kern w:val="0"/>
          <w14:ligatures w14:val="none"/>
        </w:rPr>
        <w:t>Labour</w:t>
      </w:r>
      <w:proofErr w:type="spellEnd"/>
      <w:r w:rsidRPr="00D87FB2">
        <w:rPr>
          <w:rFonts w:ascii="Times New Roman" w:eastAsia="Times New Roman" w:hAnsi="Times New Roman" w:cs="Times New Roman"/>
          <w:b/>
          <w:bCs/>
          <w:kern w:val="0"/>
          <w14:ligatures w14:val="none"/>
        </w:rPr>
        <w:t xml:space="preserve"> Organization, Walk Free, &amp; International Organization for Migration. (2022). </w:t>
      </w:r>
      <w:r w:rsidRPr="00D87FB2">
        <w:rPr>
          <w:rFonts w:ascii="Times New Roman" w:eastAsia="Times New Roman" w:hAnsi="Times New Roman" w:cs="Times New Roman"/>
          <w:b/>
          <w:bCs/>
          <w:i/>
          <w:iCs/>
          <w:kern w:val="0"/>
          <w14:ligatures w14:val="none"/>
        </w:rPr>
        <w:t xml:space="preserve">Global estimates of modern slavery: Forced </w:t>
      </w:r>
      <w:proofErr w:type="spellStart"/>
      <w:r w:rsidRPr="00D87FB2">
        <w:rPr>
          <w:rFonts w:ascii="Times New Roman" w:eastAsia="Times New Roman" w:hAnsi="Times New Roman" w:cs="Times New Roman"/>
          <w:b/>
          <w:bCs/>
          <w:i/>
          <w:iCs/>
          <w:kern w:val="0"/>
          <w14:ligatures w14:val="none"/>
        </w:rPr>
        <w:t>labour</w:t>
      </w:r>
      <w:proofErr w:type="spellEnd"/>
      <w:r w:rsidRPr="00D87FB2">
        <w:rPr>
          <w:rFonts w:ascii="Times New Roman" w:eastAsia="Times New Roman" w:hAnsi="Times New Roman" w:cs="Times New Roman"/>
          <w:b/>
          <w:bCs/>
          <w:i/>
          <w:iCs/>
          <w:kern w:val="0"/>
          <w14:ligatures w14:val="none"/>
        </w:rPr>
        <w:t xml:space="preserve"> and forced marriage</w:t>
      </w:r>
      <w:r w:rsidRPr="00D87FB2">
        <w:rPr>
          <w:rFonts w:ascii="Times New Roman" w:eastAsia="Times New Roman" w:hAnsi="Times New Roman" w:cs="Times New Roman"/>
          <w:b/>
          <w:bCs/>
          <w:kern w:val="0"/>
          <w14:ligatures w14:val="none"/>
        </w:rPr>
        <w:t>. https://www.ilo.org/publications/major-publications/global-estimates-modern-slavery-forced-labour-and-forced-marriage</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Definitive international estimates from the UN's specialized labor agency, in partnership with Walk Free and IOM; the global standard for prevalence reporting.</w:t>
      </w:r>
    </w:p>
    <w:p w14:paraId="41E3B1EF"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Lederer, L. J., &amp; Wetzel, C. A. (2014). The health consequences of sex trafficking and their implications for identifying victims in healthcare facilities. </w:t>
      </w:r>
      <w:r w:rsidRPr="00D87FB2">
        <w:rPr>
          <w:rFonts w:ascii="Times New Roman" w:eastAsia="Times New Roman" w:hAnsi="Times New Roman" w:cs="Times New Roman"/>
          <w:b/>
          <w:bCs/>
          <w:i/>
          <w:iCs/>
          <w:kern w:val="0"/>
          <w14:ligatures w14:val="none"/>
        </w:rPr>
        <w:t>Annals of Health Law, 23</w:t>
      </w:r>
      <w:r w:rsidRPr="00D87FB2">
        <w:rPr>
          <w:rFonts w:ascii="Times New Roman" w:eastAsia="Times New Roman" w:hAnsi="Times New Roman" w:cs="Times New Roman"/>
          <w:b/>
          <w:bCs/>
          <w:kern w:val="0"/>
          <w14:ligatures w14:val="none"/>
        </w:rPr>
        <w:t>(1), 61–91.</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Frequently cited empirical study on health consequences and the healthcare encounter rate.</w:t>
      </w:r>
    </w:p>
    <w:p w14:paraId="572DE8E7"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Legal Information Institute (LII). (n.d.). </w:t>
      </w:r>
      <w:r w:rsidRPr="00D87FB2">
        <w:rPr>
          <w:rFonts w:ascii="Times New Roman" w:eastAsia="Times New Roman" w:hAnsi="Times New Roman" w:cs="Times New Roman"/>
          <w:b/>
          <w:bCs/>
          <w:i/>
          <w:iCs/>
          <w:kern w:val="0"/>
          <w14:ligatures w14:val="none"/>
        </w:rPr>
        <w:t>22 U.S. Code § 7102 - Definitions</w:t>
      </w:r>
      <w:r w:rsidRPr="00D87FB2">
        <w:rPr>
          <w:rFonts w:ascii="Times New Roman" w:eastAsia="Times New Roman" w:hAnsi="Times New Roman" w:cs="Times New Roman"/>
          <w:b/>
          <w:bCs/>
          <w:kern w:val="0"/>
          <w14:ligatures w14:val="none"/>
        </w:rPr>
        <w:t>. Cornell Law School. https://www.law.cornell.edu/uscode/text/22/7102</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Authoritative free-access legal text repository; verifies statutory definitions.</w:t>
      </w:r>
    </w:p>
    <w:p w14:paraId="174CBFE9"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Macy, R. J., &amp; Graham, L. M. (2012). Identifying domestic and international sex-trafficking victims during human service provision. </w:t>
      </w:r>
      <w:r w:rsidRPr="00D87FB2">
        <w:rPr>
          <w:rFonts w:ascii="Times New Roman" w:eastAsia="Times New Roman" w:hAnsi="Times New Roman" w:cs="Times New Roman"/>
          <w:b/>
          <w:bCs/>
          <w:i/>
          <w:iCs/>
          <w:kern w:val="0"/>
          <w14:ligatures w14:val="none"/>
        </w:rPr>
        <w:t>Trauma, Violence, &amp; Abuse, 13</w:t>
      </w:r>
      <w:r w:rsidRPr="00D87FB2">
        <w:rPr>
          <w:rFonts w:ascii="Times New Roman" w:eastAsia="Times New Roman" w:hAnsi="Times New Roman" w:cs="Times New Roman"/>
          <w:b/>
          <w:bCs/>
          <w:kern w:val="0"/>
          <w14:ligatures w14:val="none"/>
        </w:rPr>
        <w:t>(2), 59–76.</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methodological article on identification challenges; widely cited foundational reference.</w:t>
      </w:r>
    </w:p>
    <w:p w14:paraId="766B06E3"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Macy, R. J., &amp; Johns, N. (2011). Aftercare services for international sex trafficking survivors: Informing U.S. service and program development in an emerging practice area. </w:t>
      </w:r>
      <w:r w:rsidRPr="00D87FB2">
        <w:rPr>
          <w:rFonts w:ascii="Times New Roman" w:eastAsia="Times New Roman" w:hAnsi="Times New Roman" w:cs="Times New Roman"/>
          <w:b/>
          <w:bCs/>
          <w:i/>
          <w:iCs/>
          <w:kern w:val="0"/>
          <w14:ligatures w14:val="none"/>
        </w:rPr>
        <w:t>Trauma, Violence, &amp; Abuse, 12</w:t>
      </w:r>
      <w:r w:rsidRPr="00D87FB2">
        <w:rPr>
          <w:rFonts w:ascii="Times New Roman" w:eastAsia="Times New Roman" w:hAnsi="Times New Roman" w:cs="Times New Roman"/>
          <w:b/>
          <w:bCs/>
          <w:kern w:val="0"/>
          <w14:ligatures w14:val="none"/>
        </w:rPr>
        <w:t>(2), 87–98.</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synthesis informing U.S. aftercare program design.</w:t>
      </w:r>
    </w:p>
    <w:p w14:paraId="02F429FB"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Murphy, L. T. (2017). </w:t>
      </w:r>
      <w:r w:rsidRPr="00D87FB2">
        <w:rPr>
          <w:rFonts w:ascii="Times New Roman" w:eastAsia="Times New Roman" w:hAnsi="Times New Roman" w:cs="Times New Roman"/>
          <w:b/>
          <w:bCs/>
          <w:i/>
          <w:iCs/>
          <w:kern w:val="0"/>
          <w14:ligatures w14:val="none"/>
        </w:rPr>
        <w:t>Labor and sex trafficking among homeless youth</w:t>
      </w:r>
      <w:r w:rsidRPr="00D87FB2">
        <w:rPr>
          <w:rFonts w:ascii="Times New Roman" w:eastAsia="Times New Roman" w:hAnsi="Times New Roman" w:cs="Times New Roman"/>
          <w:b/>
          <w:bCs/>
          <w:kern w:val="0"/>
          <w14:ligatures w14:val="none"/>
        </w:rPr>
        <w:t>. Loyola University New Orleans Modern Slavery Research Project. https://www.covenanthouse.org</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Academic-led empirical study spanning 13 cities; foundational source on youth homelessness and trafficking.</w:t>
      </w:r>
    </w:p>
    <w:p w14:paraId="6BFB2ADE"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National Academies of Sciences, Engineering, and Medicine. (2013). </w:t>
      </w:r>
      <w:r w:rsidRPr="00D87FB2">
        <w:rPr>
          <w:rFonts w:ascii="Times New Roman" w:eastAsia="Times New Roman" w:hAnsi="Times New Roman" w:cs="Times New Roman"/>
          <w:b/>
          <w:bCs/>
          <w:i/>
          <w:iCs/>
          <w:kern w:val="0"/>
          <w14:ligatures w14:val="none"/>
        </w:rPr>
        <w:t>Confronting commercial sexual exploitation and sex trafficking of minors in the United States</w:t>
      </w:r>
      <w:r w:rsidRPr="00D87FB2">
        <w:rPr>
          <w:rFonts w:ascii="Times New Roman" w:eastAsia="Times New Roman" w:hAnsi="Times New Roman" w:cs="Times New Roman"/>
          <w:b/>
          <w:bCs/>
          <w:kern w:val="0"/>
          <w14:ligatures w14:val="none"/>
        </w:rPr>
        <w:t>. National Academies Press.</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Consensus report from the U.S. national academies; rigorous and frequently cited in policy and program design.</w:t>
      </w:r>
    </w:p>
    <w:p w14:paraId="1DA878B2"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National Center for Missing and Exploited Children (NCMEC). (2024). </w:t>
      </w:r>
      <w:proofErr w:type="spellStart"/>
      <w:r w:rsidRPr="00D87FB2">
        <w:rPr>
          <w:rFonts w:ascii="Times New Roman" w:eastAsia="Times New Roman" w:hAnsi="Times New Roman" w:cs="Times New Roman"/>
          <w:b/>
          <w:bCs/>
          <w:i/>
          <w:iCs/>
          <w:kern w:val="0"/>
          <w14:ligatures w14:val="none"/>
        </w:rPr>
        <w:t>CyberTipline</w:t>
      </w:r>
      <w:proofErr w:type="spellEnd"/>
      <w:r w:rsidRPr="00D87FB2">
        <w:rPr>
          <w:rFonts w:ascii="Times New Roman" w:eastAsia="Times New Roman" w:hAnsi="Times New Roman" w:cs="Times New Roman"/>
          <w:b/>
          <w:bCs/>
          <w:i/>
          <w:iCs/>
          <w:kern w:val="0"/>
          <w14:ligatures w14:val="none"/>
        </w:rPr>
        <w:t xml:space="preserve"> annual report</w:t>
      </w:r>
      <w:r w:rsidRPr="00D87FB2">
        <w:rPr>
          <w:rFonts w:ascii="Times New Roman" w:eastAsia="Times New Roman" w:hAnsi="Times New Roman" w:cs="Times New Roman"/>
          <w:b/>
          <w:bCs/>
          <w:kern w:val="0"/>
          <w14:ligatures w14:val="none"/>
        </w:rPr>
        <w:t>. https://www.missingkids.org</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NCMEC operates the federal </w:t>
      </w:r>
      <w:proofErr w:type="spellStart"/>
      <w:r w:rsidRPr="00D87FB2">
        <w:rPr>
          <w:rFonts w:ascii="Times New Roman" w:eastAsia="Times New Roman" w:hAnsi="Times New Roman" w:cs="Times New Roman"/>
          <w:kern w:val="0"/>
          <w14:ligatures w14:val="none"/>
        </w:rPr>
        <w:t>CyberTipline</w:t>
      </w:r>
      <w:proofErr w:type="spellEnd"/>
      <w:r w:rsidRPr="00D87FB2">
        <w:rPr>
          <w:rFonts w:ascii="Times New Roman" w:eastAsia="Times New Roman" w:hAnsi="Times New Roman" w:cs="Times New Roman"/>
          <w:kern w:val="0"/>
          <w14:ligatures w14:val="none"/>
        </w:rPr>
        <w:t>; primary source for online child sexual exploitation reporting data.</w:t>
      </w:r>
    </w:p>
    <w:p w14:paraId="632AFA3C"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lastRenderedPageBreak/>
        <w:t xml:space="preserve">National Survivor Network (NSN). (n.d.). </w:t>
      </w:r>
      <w:r w:rsidRPr="00D87FB2">
        <w:rPr>
          <w:rFonts w:ascii="Times New Roman" w:eastAsia="Times New Roman" w:hAnsi="Times New Roman" w:cs="Times New Roman"/>
          <w:b/>
          <w:bCs/>
          <w:i/>
          <w:iCs/>
          <w:kern w:val="0"/>
          <w14:ligatures w14:val="none"/>
        </w:rPr>
        <w:t>Principles and resources</w:t>
      </w:r>
      <w:r w:rsidRPr="00D87FB2">
        <w:rPr>
          <w:rFonts w:ascii="Times New Roman" w:eastAsia="Times New Roman" w:hAnsi="Times New Roman" w:cs="Times New Roman"/>
          <w:b/>
          <w:bCs/>
          <w:kern w:val="0"/>
          <w14:ligatures w14:val="none"/>
        </w:rPr>
        <w:t>. Coalition to Abolish Slavery and Trafficking. https://nationalsurvivornetwork.org</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Largest U.S. national network of trafficking survivor leaders; authoritative for survivor-led practice principles.</w:t>
      </w:r>
    </w:p>
    <w:p w14:paraId="02CECB22"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Office for Victims of Crime (OVC). (n.d.). </w:t>
      </w:r>
      <w:r w:rsidRPr="00D87FB2">
        <w:rPr>
          <w:rFonts w:ascii="Times New Roman" w:eastAsia="Times New Roman" w:hAnsi="Times New Roman" w:cs="Times New Roman"/>
          <w:b/>
          <w:bCs/>
          <w:i/>
          <w:iCs/>
          <w:kern w:val="0"/>
          <w14:ligatures w14:val="none"/>
        </w:rPr>
        <w:t>Human trafficking resources</w:t>
      </w:r>
      <w:r w:rsidRPr="00D87FB2">
        <w:rPr>
          <w:rFonts w:ascii="Times New Roman" w:eastAsia="Times New Roman" w:hAnsi="Times New Roman" w:cs="Times New Roman"/>
          <w:b/>
          <w:bCs/>
          <w:kern w:val="0"/>
          <w14:ligatures w14:val="none"/>
        </w:rPr>
        <w:t>. U.S. Department of Justice. https://ovc.ojp.gov</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Federal funder and technical assistance lead for victim services; authoritative for service standards and training.</w:t>
      </w:r>
    </w:p>
    <w:p w14:paraId="52538A14"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Oram, S., </w:t>
      </w:r>
      <w:proofErr w:type="spellStart"/>
      <w:r w:rsidRPr="00D87FB2">
        <w:rPr>
          <w:rFonts w:ascii="Times New Roman" w:eastAsia="Times New Roman" w:hAnsi="Times New Roman" w:cs="Times New Roman"/>
          <w:b/>
          <w:bCs/>
          <w:kern w:val="0"/>
          <w14:ligatures w14:val="none"/>
        </w:rPr>
        <w:t>Khondoker</w:t>
      </w:r>
      <w:proofErr w:type="spellEnd"/>
      <w:r w:rsidRPr="00D87FB2">
        <w:rPr>
          <w:rFonts w:ascii="Times New Roman" w:eastAsia="Times New Roman" w:hAnsi="Times New Roman" w:cs="Times New Roman"/>
          <w:b/>
          <w:bCs/>
          <w:kern w:val="0"/>
          <w14:ligatures w14:val="none"/>
        </w:rPr>
        <w:t xml:space="preserve">, M., Abas, M., Broadbent, M., &amp; Howard, L. M. (2016). Characteristics of trafficked adults and children with severe mental illness: A historical cohort study. </w:t>
      </w:r>
      <w:r w:rsidRPr="00D87FB2">
        <w:rPr>
          <w:rFonts w:ascii="Times New Roman" w:eastAsia="Times New Roman" w:hAnsi="Times New Roman" w:cs="Times New Roman"/>
          <w:b/>
          <w:bCs/>
          <w:i/>
          <w:iCs/>
          <w:kern w:val="0"/>
          <w14:ligatures w14:val="none"/>
        </w:rPr>
        <w:t>The Lancet Psychiatry, 3</w:t>
      </w:r>
      <w:r w:rsidRPr="00D87FB2">
        <w:rPr>
          <w:rFonts w:ascii="Times New Roman" w:eastAsia="Times New Roman" w:hAnsi="Times New Roman" w:cs="Times New Roman"/>
          <w:b/>
          <w:bCs/>
          <w:kern w:val="0"/>
          <w14:ligatures w14:val="none"/>
        </w:rPr>
        <w:t>(11), 1084–1091.</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cohort study in a top-tier psychiatric journal documenting mental health profile of survivors.</w:t>
      </w:r>
    </w:p>
    <w:p w14:paraId="69E4F9FB"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Oram, S., Stöckl, H., </w:t>
      </w:r>
      <w:proofErr w:type="spellStart"/>
      <w:r w:rsidRPr="00D87FB2">
        <w:rPr>
          <w:rFonts w:ascii="Times New Roman" w:eastAsia="Times New Roman" w:hAnsi="Times New Roman" w:cs="Times New Roman"/>
          <w:b/>
          <w:bCs/>
          <w:kern w:val="0"/>
          <w14:ligatures w14:val="none"/>
        </w:rPr>
        <w:t>Busza</w:t>
      </w:r>
      <w:proofErr w:type="spellEnd"/>
      <w:r w:rsidRPr="00D87FB2">
        <w:rPr>
          <w:rFonts w:ascii="Times New Roman" w:eastAsia="Times New Roman" w:hAnsi="Times New Roman" w:cs="Times New Roman"/>
          <w:b/>
          <w:bCs/>
          <w:kern w:val="0"/>
          <w14:ligatures w14:val="none"/>
        </w:rPr>
        <w:t xml:space="preserve">, J., Howard, L. M., &amp; Zimmerman, C. (2012). Prevalence and risk of violence and the physical, mental, and sexual health problems associated with human trafficking: Systematic review. </w:t>
      </w:r>
      <w:r w:rsidRPr="00D87FB2">
        <w:rPr>
          <w:rFonts w:ascii="Times New Roman" w:eastAsia="Times New Roman" w:hAnsi="Times New Roman" w:cs="Times New Roman"/>
          <w:b/>
          <w:bCs/>
          <w:i/>
          <w:iCs/>
          <w:kern w:val="0"/>
          <w14:ligatures w14:val="none"/>
        </w:rPr>
        <w:t>PLOS Medicine, 9</w:t>
      </w:r>
      <w:r w:rsidRPr="00D87FB2">
        <w:rPr>
          <w:rFonts w:ascii="Times New Roman" w:eastAsia="Times New Roman" w:hAnsi="Times New Roman" w:cs="Times New Roman"/>
          <w:b/>
          <w:bCs/>
          <w:kern w:val="0"/>
          <w14:ligatures w14:val="none"/>
        </w:rPr>
        <w:t>(5), e1001224.</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systematic review in a major medical journal; foundational for health sequelae documentation.</w:t>
      </w:r>
    </w:p>
    <w:p w14:paraId="1057056D"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Owens, C., Dank, M., Breaux, J., Bañuelos, I., Farrell, A., Pfeffer, R., Bright, K., </w:t>
      </w:r>
      <w:proofErr w:type="spellStart"/>
      <w:r w:rsidRPr="00D87FB2">
        <w:rPr>
          <w:rFonts w:ascii="Times New Roman" w:eastAsia="Times New Roman" w:hAnsi="Times New Roman" w:cs="Times New Roman"/>
          <w:b/>
          <w:bCs/>
          <w:kern w:val="0"/>
          <w14:ligatures w14:val="none"/>
        </w:rPr>
        <w:t>Heitsmith</w:t>
      </w:r>
      <w:proofErr w:type="spellEnd"/>
      <w:r w:rsidRPr="00D87FB2">
        <w:rPr>
          <w:rFonts w:ascii="Times New Roman" w:eastAsia="Times New Roman" w:hAnsi="Times New Roman" w:cs="Times New Roman"/>
          <w:b/>
          <w:bCs/>
          <w:kern w:val="0"/>
          <w14:ligatures w14:val="none"/>
        </w:rPr>
        <w:t xml:space="preserve">, R., &amp; McDevitt, J. (2014). </w:t>
      </w:r>
      <w:r w:rsidRPr="00D87FB2">
        <w:rPr>
          <w:rFonts w:ascii="Times New Roman" w:eastAsia="Times New Roman" w:hAnsi="Times New Roman" w:cs="Times New Roman"/>
          <w:b/>
          <w:bCs/>
          <w:i/>
          <w:iCs/>
          <w:kern w:val="0"/>
          <w14:ligatures w14:val="none"/>
        </w:rPr>
        <w:t>Understanding the organization, operation, and victimization process of labor trafficking in the United States</w:t>
      </w:r>
      <w:r w:rsidRPr="00D87FB2">
        <w:rPr>
          <w:rFonts w:ascii="Times New Roman" w:eastAsia="Times New Roman" w:hAnsi="Times New Roman" w:cs="Times New Roman"/>
          <w:b/>
          <w:bCs/>
          <w:kern w:val="0"/>
          <w14:ligatures w14:val="none"/>
        </w:rPr>
        <w:t>. Urban Institute and Northeastern University. https://www.urban.org/research/publication/understanding-organization-operation-and-victimization-process-labor-trafficking-united-states</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Multi-year mixed-methods study by leading research institutes; foundational labor trafficking source.</w:t>
      </w:r>
    </w:p>
    <w:p w14:paraId="7577E802"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Polaris Project. (2017). </w:t>
      </w:r>
      <w:r w:rsidRPr="00D87FB2">
        <w:rPr>
          <w:rFonts w:ascii="Times New Roman" w:eastAsia="Times New Roman" w:hAnsi="Times New Roman" w:cs="Times New Roman"/>
          <w:b/>
          <w:bCs/>
          <w:i/>
          <w:iCs/>
          <w:kern w:val="0"/>
          <w14:ligatures w14:val="none"/>
        </w:rPr>
        <w:t>The typology of modern slavery: Defining sex and labor trafficking in the United States</w:t>
      </w:r>
      <w:r w:rsidRPr="00D87FB2">
        <w:rPr>
          <w:rFonts w:ascii="Times New Roman" w:eastAsia="Times New Roman" w:hAnsi="Times New Roman" w:cs="Times New Roman"/>
          <w:b/>
          <w:bCs/>
          <w:kern w:val="0"/>
          <w14:ligatures w14:val="none"/>
        </w:rPr>
        <w:t>. https://polarisproject.org/the-typology-of-modern-slavery/</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Polaris's foundational analysis of 32,000+ hotline cases yielding the </w:t>
      </w:r>
      <w:proofErr w:type="gramStart"/>
      <w:r w:rsidRPr="00D87FB2">
        <w:rPr>
          <w:rFonts w:ascii="Times New Roman" w:eastAsia="Times New Roman" w:hAnsi="Times New Roman" w:cs="Times New Roman"/>
          <w:kern w:val="0"/>
          <w14:ligatures w14:val="none"/>
        </w:rPr>
        <w:t>25 business</w:t>
      </w:r>
      <w:proofErr w:type="gramEnd"/>
      <w:r w:rsidRPr="00D87FB2">
        <w:rPr>
          <w:rFonts w:ascii="Times New Roman" w:eastAsia="Times New Roman" w:hAnsi="Times New Roman" w:cs="Times New Roman"/>
          <w:kern w:val="0"/>
          <w14:ligatures w14:val="none"/>
        </w:rPr>
        <w:t xml:space="preserve"> model framework now broadly used.</w:t>
      </w:r>
    </w:p>
    <w:p w14:paraId="140C8486"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Polaris Project. (2020). </w:t>
      </w:r>
      <w:r w:rsidRPr="00D87FB2">
        <w:rPr>
          <w:rFonts w:ascii="Times New Roman" w:eastAsia="Times New Roman" w:hAnsi="Times New Roman" w:cs="Times New Roman"/>
          <w:b/>
          <w:bCs/>
          <w:i/>
          <w:iCs/>
          <w:kern w:val="0"/>
          <w14:ligatures w14:val="none"/>
        </w:rPr>
        <w:t>Human trafficking and racial bias and racial equity</w:t>
      </w:r>
      <w:r w:rsidRPr="00D87FB2">
        <w:rPr>
          <w:rFonts w:ascii="Times New Roman" w:eastAsia="Times New Roman" w:hAnsi="Times New Roman" w:cs="Times New Roman"/>
          <w:b/>
          <w:bCs/>
          <w:kern w:val="0"/>
          <w14:ligatures w14:val="none"/>
        </w:rPr>
        <w:t>. https://polarisproject.org</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Field-leading anti-trafficking nonprofit; authoritative on messaging, equity, and field practices.</w:t>
      </w:r>
    </w:p>
    <w:p w14:paraId="3F44BC75"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Polaris Project. (2025). </w:t>
      </w:r>
      <w:r w:rsidRPr="00D87FB2">
        <w:rPr>
          <w:rFonts w:ascii="Times New Roman" w:eastAsia="Times New Roman" w:hAnsi="Times New Roman" w:cs="Times New Roman"/>
          <w:b/>
          <w:bCs/>
          <w:i/>
          <w:iCs/>
          <w:kern w:val="0"/>
          <w14:ligatures w14:val="none"/>
        </w:rPr>
        <w:t>The 2024 hotline data is here</w:t>
      </w:r>
      <w:r w:rsidRPr="00D87FB2">
        <w:rPr>
          <w:rFonts w:ascii="Times New Roman" w:eastAsia="Times New Roman" w:hAnsi="Times New Roman" w:cs="Times New Roman"/>
          <w:b/>
          <w:bCs/>
          <w:kern w:val="0"/>
          <w14:ligatures w14:val="none"/>
        </w:rPr>
        <w:t>. https://polarisproject.org/blog/2025/06/the-2024-hotline-data-is-here-and-it-tells-a-story-of-hope-resilience-and-action/</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Most recent published U.S. National Human Trafficking Hotline summary statistics.</w:t>
      </w:r>
    </w:p>
    <w:p w14:paraId="4AFE9BAF"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Polaris Project. (n.d.). </w:t>
      </w:r>
      <w:r w:rsidRPr="00D87FB2">
        <w:rPr>
          <w:rFonts w:ascii="Times New Roman" w:eastAsia="Times New Roman" w:hAnsi="Times New Roman" w:cs="Times New Roman"/>
          <w:b/>
          <w:bCs/>
          <w:i/>
          <w:iCs/>
          <w:kern w:val="0"/>
          <w14:ligatures w14:val="none"/>
        </w:rPr>
        <w:t>U.S. National Human Trafficking Hotline statistics</w:t>
      </w:r>
      <w:r w:rsidRPr="00D87FB2">
        <w:rPr>
          <w:rFonts w:ascii="Times New Roman" w:eastAsia="Times New Roman" w:hAnsi="Times New Roman" w:cs="Times New Roman"/>
          <w:b/>
          <w:bCs/>
          <w:kern w:val="0"/>
          <w14:ligatures w14:val="none"/>
        </w:rPr>
        <w:t>. https://polarisproject.org/resources/us-national-human-trafficking-hotline-statistics/</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Cumulative hotline data; one of the largest publicly available U.S. trafficking datasets.</w:t>
      </w:r>
    </w:p>
    <w:p w14:paraId="24A777D8"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lastRenderedPageBreak/>
        <w:t xml:space="preserve">Reid, J. A. (2016). Entrapment and enmeshment schemes used by sex traffickers. </w:t>
      </w:r>
      <w:r w:rsidRPr="00D87FB2">
        <w:rPr>
          <w:rFonts w:ascii="Times New Roman" w:eastAsia="Times New Roman" w:hAnsi="Times New Roman" w:cs="Times New Roman"/>
          <w:b/>
          <w:bCs/>
          <w:i/>
          <w:iCs/>
          <w:kern w:val="0"/>
          <w14:ligatures w14:val="none"/>
        </w:rPr>
        <w:t>Sexual Abuse, 28</w:t>
      </w:r>
      <w:r w:rsidRPr="00D87FB2">
        <w:rPr>
          <w:rFonts w:ascii="Times New Roman" w:eastAsia="Times New Roman" w:hAnsi="Times New Roman" w:cs="Times New Roman"/>
          <w:b/>
          <w:bCs/>
          <w:kern w:val="0"/>
          <w14:ligatures w14:val="none"/>
        </w:rPr>
        <w:t>(6), 491–511.</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empirical analysis of grooming and entrapment schemes; widely cited.</w:t>
      </w:r>
    </w:p>
    <w:p w14:paraId="47AD6931"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Reid, J. A., </w:t>
      </w:r>
      <w:proofErr w:type="spellStart"/>
      <w:r w:rsidRPr="00D87FB2">
        <w:rPr>
          <w:rFonts w:ascii="Times New Roman" w:eastAsia="Times New Roman" w:hAnsi="Times New Roman" w:cs="Times New Roman"/>
          <w:b/>
          <w:bCs/>
          <w:kern w:val="0"/>
          <w14:ligatures w14:val="none"/>
        </w:rPr>
        <w:t>Baglivio</w:t>
      </w:r>
      <w:proofErr w:type="spellEnd"/>
      <w:r w:rsidRPr="00D87FB2">
        <w:rPr>
          <w:rFonts w:ascii="Times New Roman" w:eastAsia="Times New Roman" w:hAnsi="Times New Roman" w:cs="Times New Roman"/>
          <w:b/>
          <w:bCs/>
          <w:kern w:val="0"/>
          <w14:ligatures w14:val="none"/>
        </w:rPr>
        <w:t xml:space="preserve">, M. T., Piquero, A. R., Greenwald, M. A., &amp; Epps, N. (2017). Human trafficking of minors and childhood adversity in Florida. </w:t>
      </w:r>
      <w:r w:rsidRPr="00D87FB2">
        <w:rPr>
          <w:rFonts w:ascii="Times New Roman" w:eastAsia="Times New Roman" w:hAnsi="Times New Roman" w:cs="Times New Roman"/>
          <w:b/>
          <w:bCs/>
          <w:i/>
          <w:iCs/>
          <w:kern w:val="0"/>
          <w14:ligatures w14:val="none"/>
        </w:rPr>
        <w:t>American Journal of Public Health, 107</w:t>
      </w:r>
      <w:r w:rsidRPr="00D87FB2">
        <w:rPr>
          <w:rFonts w:ascii="Times New Roman" w:eastAsia="Times New Roman" w:hAnsi="Times New Roman" w:cs="Times New Roman"/>
          <w:b/>
          <w:bCs/>
          <w:kern w:val="0"/>
          <w14:ligatures w14:val="none"/>
        </w:rPr>
        <w:t>(2), 306–311.</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Large-scale empirical analysis of childhood adversity and minor trafficking, peer-reviewed in a leading public health journal.</w:t>
      </w:r>
    </w:p>
    <w:p w14:paraId="62A960D4"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Reid, J. A., Haskell, R. A., Dillahunt-</w:t>
      </w:r>
      <w:proofErr w:type="spellStart"/>
      <w:r w:rsidRPr="00D87FB2">
        <w:rPr>
          <w:rFonts w:ascii="Times New Roman" w:eastAsia="Times New Roman" w:hAnsi="Times New Roman" w:cs="Times New Roman"/>
          <w:b/>
          <w:bCs/>
          <w:kern w:val="0"/>
          <w14:ligatures w14:val="none"/>
        </w:rPr>
        <w:t>Aspillaga</w:t>
      </w:r>
      <w:proofErr w:type="spellEnd"/>
      <w:r w:rsidRPr="00D87FB2">
        <w:rPr>
          <w:rFonts w:ascii="Times New Roman" w:eastAsia="Times New Roman" w:hAnsi="Times New Roman" w:cs="Times New Roman"/>
          <w:b/>
          <w:bCs/>
          <w:kern w:val="0"/>
          <w14:ligatures w14:val="none"/>
        </w:rPr>
        <w:t xml:space="preserve">, C., &amp; Thor, J. A. (2018). Trauma bonding and interpersonal violence. </w:t>
      </w:r>
      <w:r w:rsidRPr="00D87FB2">
        <w:rPr>
          <w:rFonts w:ascii="Times New Roman" w:eastAsia="Times New Roman" w:hAnsi="Times New Roman" w:cs="Times New Roman"/>
          <w:b/>
          <w:bCs/>
          <w:i/>
          <w:iCs/>
          <w:kern w:val="0"/>
          <w14:ligatures w14:val="none"/>
        </w:rPr>
        <w:t>Behavioral Sciences, 8</w:t>
      </w:r>
      <w:r w:rsidRPr="00D87FB2">
        <w:rPr>
          <w:rFonts w:ascii="Times New Roman" w:eastAsia="Times New Roman" w:hAnsi="Times New Roman" w:cs="Times New Roman"/>
          <w:b/>
          <w:bCs/>
          <w:kern w:val="0"/>
          <w14:ligatures w14:val="none"/>
        </w:rPr>
        <w:t>(1), 11.</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conceptual analysis applying trauma bonding to interpersonal violence and trafficking.</w:t>
      </w:r>
    </w:p>
    <w:p w14:paraId="16F491AA"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Rothman, E. F., Bazzi, A. R., &amp; Bair-Merritt, M. (2021). A qualitative study of human trafficking risk factors among youth. </w:t>
      </w:r>
      <w:r w:rsidRPr="00D87FB2">
        <w:rPr>
          <w:rFonts w:ascii="Times New Roman" w:eastAsia="Times New Roman" w:hAnsi="Times New Roman" w:cs="Times New Roman"/>
          <w:b/>
          <w:bCs/>
          <w:i/>
          <w:iCs/>
          <w:kern w:val="0"/>
          <w14:ligatures w14:val="none"/>
        </w:rPr>
        <w:t>Journal of Adolescent Health, 68</w:t>
      </w:r>
      <w:r w:rsidRPr="00D87FB2">
        <w:rPr>
          <w:rFonts w:ascii="Times New Roman" w:eastAsia="Times New Roman" w:hAnsi="Times New Roman" w:cs="Times New Roman"/>
          <w:b/>
          <w:bCs/>
          <w:kern w:val="0"/>
          <w14:ligatures w14:val="none"/>
        </w:rPr>
        <w:t>(2), 332–338.</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qualitative study with youth; relevant to prevention design.</w:t>
      </w:r>
    </w:p>
    <w:p w14:paraId="3F84E8C5"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Sanchez, R. V., Speck, P. M., &amp; Patrician, P. A. (2019). A concept analysis of trauma coercive bonding in the commercial sexual exploitation of children. </w:t>
      </w:r>
      <w:r w:rsidRPr="00D87FB2">
        <w:rPr>
          <w:rFonts w:ascii="Times New Roman" w:eastAsia="Times New Roman" w:hAnsi="Times New Roman" w:cs="Times New Roman"/>
          <w:b/>
          <w:bCs/>
          <w:i/>
          <w:iCs/>
          <w:kern w:val="0"/>
          <w14:ligatures w14:val="none"/>
        </w:rPr>
        <w:t>Journal of Pediatric Nursing, 46</w:t>
      </w:r>
      <w:r w:rsidRPr="00D87FB2">
        <w:rPr>
          <w:rFonts w:ascii="Times New Roman" w:eastAsia="Times New Roman" w:hAnsi="Times New Roman" w:cs="Times New Roman"/>
          <w:b/>
          <w:bCs/>
          <w:kern w:val="0"/>
          <w14:ligatures w14:val="none"/>
        </w:rPr>
        <w:t>, 48–54. https://pubmed.ncbi.nlm.nih.gov/30852255/</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Foundational peer-reviewed concept analysis introducing "trauma-coercive bonding" specific to CSEC.</w:t>
      </w:r>
    </w:p>
    <w:p w14:paraId="68E2A861"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Stoklosa, H., MacGibbon, M., &amp; Stoklosa, J. (2020). Human trafficking, mental illness, and addiction: Avoiding diagnostic overshadowing. </w:t>
      </w:r>
      <w:r w:rsidRPr="00D87FB2">
        <w:rPr>
          <w:rFonts w:ascii="Times New Roman" w:eastAsia="Times New Roman" w:hAnsi="Times New Roman" w:cs="Times New Roman"/>
          <w:b/>
          <w:bCs/>
          <w:i/>
          <w:iCs/>
          <w:kern w:val="0"/>
          <w14:ligatures w14:val="none"/>
        </w:rPr>
        <w:t>AMA Journal of Ethics, 19</w:t>
      </w:r>
      <w:r w:rsidRPr="00D87FB2">
        <w:rPr>
          <w:rFonts w:ascii="Times New Roman" w:eastAsia="Times New Roman" w:hAnsi="Times New Roman" w:cs="Times New Roman"/>
          <w:b/>
          <w:bCs/>
          <w:kern w:val="0"/>
          <w14:ligatures w14:val="none"/>
        </w:rPr>
        <w:t>(1), 23–34. https://pubmed.ncbi.nlm.nih.gov/28107153/</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clinical ethics analysis from leading trafficking-medicine researcher.</w:t>
      </w:r>
    </w:p>
    <w:p w14:paraId="5A6270C5"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Substance Abuse and Mental Health Services Administration (SAMHSA). (2014). </w:t>
      </w:r>
      <w:r w:rsidRPr="00D87FB2">
        <w:rPr>
          <w:rFonts w:ascii="Times New Roman" w:eastAsia="Times New Roman" w:hAnsi="Times New Roman" w:cs="Times New Roman"/>
          <w:b/>
          <w:bCs/>
          <w:i/>
          <w:iCs/>
          <w:kern w:val="0"/>
          <w14:ligatures w14:val="none"/>
        </w:rPr>
        <w:t>SAMHSA's concept of trauma and guidance for a trauma-informed approach</w:t>
      </w:r>
      <w:r w:rsidRPr="00D87FB2">
        <w:rPr>
          <w:rFonts w:ascii="Times New Roman" w:eastAsia="Times New Roman" w:hAnsi="Times New Roman" w:cs="Times New Roman"/>
          <w:b/>
          <w:bCs/>
          <w:kern w:val="0"/>
          <w14:ligatures w14:val="none"/>
        </w:rPr>
        <w:t xml:space="preserve"> (HHS Pub. No. SMA 14-4884). https://library.samhsa.gov/product/samhsas-concept-trauma-and-guidance-trauma-informed-approach/sma14-4884</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The federal definitional standard for trauma-informed care, including the six guiding principles widely adopted across the trafficking field.</w:t>
      </w:r>
    </w:p>
    <w:p w14:paraId="0D8D261D"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Thorn. (2022). </w:t>
      </w:r>
      <w:r w:rsidRPr="00D87FB2">
        <w:rPr>
          <w:rFonts w:ascii="Times New Roman" w:eastAsia="Times New Roman" w:hAnsi="Times New Roman" w:cs="Times New Roman"/>
          <w:b/>
          <w:bCs/>
          <w:i/>
          <w:iCs/>
          <w:kern w:val="0"/>
          <w14:ligatures w14:val="none"/>
        </w:rPr>
        <w:t>Online grooming: Examining risky encounters amid everyday digital socialization</w:t>
      </w:r>
      <w:r w:rsidRPr="00D87FB2">
        <w:rPr>
          <w:rFonts w:ascii="Times New Roman" w:eastAsia="Times New Roman" w:hAnsi="Times New Roman" w:cs="Times New Roman"/>
          <w:b/>
          <w:bCs/>
          <w:kern w:val="0"/>
          <w14:ligatures w14:val="none"/>
        </w:rPr>
        <w:t>. https://www.thorn.org</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Established research nonprofit specializing in technology-facilitated child sexual exploitation; methodologically transparent reports.</w:t>
      </w:r>
    </w:p>
    <w:p w14:paraId="7AFBD344"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Tipton, B. (2021). Ethical storytelling in anti-trafficking work. National Survivor Network.</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Survivor-leadership-grounded ethical storytelling guidance; widely used by U.S. nonprofits.</w:t>
      </w:r>
    </w:p>
    <w:p w14:paraId="29E4C267"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U.S. Citizenship and Immigration Services (USCIS). (n.d.). </w:t>
      </w:r>
      <w:r w:rsidRPr="00D87FB2">
        <w:rPr>
          <w:rFonts w:ascii="Times New Roman" w:eastAsia="Times New Roman" w:hAnsi="Times New Roman" w:cs="Times New Roman"/>
          <w:b/>
          <w:bCs/>
          <w:i/>
          <w:iCs/>
          <w:kern w:val="0"/>
          <w14:ligatures w14:val="none"/>
        </w:rPr>
        <w:t>Victims of human trafficking: T nonimmigrant status</w:t>
      </w:r>
      <w:r w:rsidRPr="00D87FB2">
        <w:rPr>
          <w:rFonts w:ascii="Times New Roman" w:eastAsia="Times New Roman" w:hAnsi="Times New Roman" w:cs="Times New Roman"/>
          <w:b/>
          <w:bCs/>
          <w:kern w:val="0"/>
          <w14:ligatures w14:val="none"/>
        </w:rPr>
        <w:t xml:space="preserve"> and </w:t>
      </w:r>
      <w:r w:rsidRPr="00D87FB2">
        <w:rPr>
          <w:rFonts w:ascii="Times New Roman" w:eastAsia="Times New Roman" w:hAnsi="Times New Roman" w:cs="Times New Roman"/>
          <w:b/>
          <w:bCs/>
          <w:i/>
          <w:iCs/>
          <w:kern w:val="0"/>
          <w14:ligatures w14:val="none"/>
        </w:rPr>
        <w:t>Victims of criminal activity: U nonimmigrant status</w:t>
      </w:r>
      <w:r w:rsidRPr="00D87FB2">
        <w:rPr>
          <w:rFonts w:ascii="Times New Roman" w:eastAsia="Times New Roman" w:hAnsi="Times New Roman" w:cs="Times New Roman"/>
          <w:b/>
          <w:bCs/>
          <w:kern w:val="0"/>
          <w14:ligatures w14:val="none"/>
        </w:rPr>
        <w:t>. https://www.uscis.gov/humanitarian</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Authoritative federal source for T and U visa eligibility and procedures.</w:t>
      </w:r>
    </w:p>
    <w:p w14:paraId="4802B612"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lastRenderedPageBreak/>
        <w:t xml:space="preserve">U.S. Department of Homeland Security (DHS), Blue Campaign. (n.d.). </w:t>
      </w:r>
      <w:r w:rsidRPr="00D87FB2">
        <w:rPr>
          <w:rFonts w:ascii="Times New Roman" w:eastAsia="Times New Roman" w:hAnsi="Times New Roman" w:cs="Times New Roman"/>
          <w:b/>
          <w:bCs/>
          <w:i/>
          <w:iCs/>
          <w:kern w:val="0"/>
          <w14:ligatures w14:val="none"/>
        </w:rPr>
        <w:t>What is human trafficking?</w:t>
      </w:r>
      <w:r w:rsidRPr="00D87FB2">
        <w:rPr>
          <w:rFonts w:ascii="Times New Roman" w:eastAsia="Times New Roman" w:hAnsi="Times New Roman" w:cs="Times New Roman"/>
          <w:b/>
          <w:bCs/>
          <w:kern w:val="0"/>
          <w14:ligatures w14:val="none"/>
        </w:rPr>
        <w:t xml:space="preserve"> https://www.dhs.gov/blue-campaign/what-human-trafficking</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Federal public-awareness lead within DHS Center for Countering Human Trafficking; authoritative for the AMP framework in public education.</w:t>
      </w:r>
    </w:p>
    <w:p w14:paraId="2B0FA369"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U.S. Department of Justice (DOJ). (2024). </w:t>
      </w:r>
      <w:r w:rsidRPr="00D87FB2">
        <w:rPr>
          <w:rFonts w:ascii="Times New Roman" w:eastAsia="Times New Roman" w:hAnsi="Times New Roman" w:cs="Times New Roman"/>
          <w:b/>
          <w:bCs/>
          <w:i/>
          <w:iCs/>
          <w:kern w:val="0"/>
          <w14:ligatures w14:val="none"/>
        </w:rPr>
        <w:t>Key legislation</w:t>
      </w:r>
      <w:r w:rsidRPr="00D87FB2">
        <w:rPr>
          <w:rFonts w:ascii="Times New Roman" w:eastAsia="Times New Roman" w:hAnsi="Times New Roman" w:cs="Times New Roman"/>
          <w:b/>
          <w:bCs/>
          <w:kern w:val="0"/>
          <w14:ligatures w14:val="none"/>
        </w:rPr>
        <w:t xml:space="preserve"> and </w:t>
      </w:r>
      <w:r w:rsidRPr="00D87FB2">
        <w:rPr>
          <w:rFonts w:ascii="Times New Roman" w:eastAsia="Times New Roman" w:hAnsi="Times New Roman" w:cs="Times New Roman"/>
          <w:b/>
          <w:bCs/>
          <w:i/>
          <w:iCs/>
          <w:kern w:val="0"/>
          <w14:ligatures w14:val="none"/>
        </w:rPr>
        <w:t>Human trafficking overview</w:t>
      </w:r>
      <w:r w:rsidRPr="00D87FB2">
        <w:rPr>
          <w:rFonts w:ascii="Times New Roman" w:eastAsia="Times New Roman" w:hAnsi="Times New Roman" w:cs="Times New Roman"/>
          <w:b/>
          <w:bCs/>
          <w:kern w:val="0"/>
          <w14:ligatures w14:val="none"/>
        </w:rPr>
        <w:t>. https://www.justice.gov/humantrafficking</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Federal lead for human trafficking prosecution; authoritative on federal criminal statutes and DOJ programs.</w:t>
      </w:r>
    </w:p>
    <w:p w14:paraId="11FCC8F1"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U.S. Department of State (DOS). (2025). </w:t>
      </w:r>
      <w:r w:rsidRPr="00D87FB2">
        <w:rPr>
          <w:rFonts w:ascii="Times New Roman" w:eastAsia="Times New Roman" w:hAnsi="Times New Roman" w:cs="Times New Roman"/>
          <w:b/>
          <w:bCs/>
          <w:i/>
          <w:iCs/>
          <w:kern w:val="0"/>
          <w14:ligatures w14:val="none"/>
        </w:rPr>
        <w:t>2025 Trafficking in Persons report</w:t>
      </w:r>
      <w:r w:rsidRPr="00D87FB2">
        <w:rPr>
          <w:rFonts w:ascii="Times New Roman" w:eastAsia="Times New Roman" w:hAnsi="Times New Roman" w:cs="Times New Roman"/>
          <w:b/>
          <w:bCs/>
          <w:kern w:val="0"/>
          <w14:ligatures w14:val="none"/>
        </w:rPr>
        <w:t>. https://www.state.gov/reports/2025-trafficking-in-persons-report/</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The annual congressionally mandated report; primary U.S. government global trafficking assessment in its 25th edition.</w:t>
      </w:r>
    </w:p>
    <w:p w14:paraId="29B57834"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Zimmerman, C., &amp; Kiss, L. (2017). Human trafficking and exploitation: A global health concern. </w:t>
      </w:r>
      <w:r w:rsidRPr="00D87FB2">
        <w:rPr>
          <w:rFonts w:ascii="Times New Roman" w:eastAsia="Times New Roman" w:hAnsi="Times New Roman" w:cs="Times New Roman"/>
          <w:b/>
          <w:bCs/>
          <w:i/>
          <w:iCs/>
          <w:kern w:val="0"/>
          <w14:ligatures w14:val="none"/>
        </w:rPr>
        <w:t>PLOS Medicine, 14</w:t>
      </w:r>
      <w:r w:rsidRPr="00D87FB2">
        <w:rPr>
          <w:rFonts w:ascii="Times New Roman" w:eastAsia="Times New Roman" w:hAnsi="Times New Roman" w:cs="Times New Roman"/>
          <w:b/>
          <w:bCs/>
          <w:kern w:val="0"/>
          <w14:ligatures w14:val="none"/>
        </w:rPr>
        <w:t>(11), e1002437.</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editorial in a leading medical journal framing trafficking as a global public health issue.</w:t>
      </w:r>
    </w:p>
    <w:p w14:paraId="31D134A3" w14:textId="77777777" w:rsidR="00B201DF" w:rsidRPr="00D87FB2" w:rsidRDefault="00B201DF" w:rsidP="00B201DF">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2E42453A" wp14:editId="3F66825C">
                <wp:extent cx="5943600" cy="635"/>
                <wp:effectExtent l="0" t="0" r="12700" b="24765"/>
                <wp:docPr id="442457518" name="Rectangle 2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CE789C" id="Rectangle 26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41DD3193" w14:textId="77777777" w:rsidR="00B201DF" w:rsidRPr="00D87FB2" w:rsidRDefault="00B201DF" w:rsidP="00B201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Self-Audit (per Forged in the Fire Quality Control Checklist)</w:t>
      </w:r>
    </w:p>
    <w:p w14:paraId="5DC39E81"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The paper relies almost exclusively on U.S. government, peer-reviewed academic, and high-credibility institutional sources. Major factual claims are cited; statistics are tied to documented sources with caveats about methodological limitations. Federal and California legal claims are tied to specific statutes. Trauma-informed and survivor-centered language is used throughout; sensationalism, graphic detail, and unsupported advocacy claims have been avoided. The paper acknowledges measurement gaps, particularly in prevalence and outcome research, and identifies labor trafficking, adult male survivors, LGBTQ+ survivors, and rural populations as under-researched. Survivor dignity is protected by avoiding individual narratives, gratuitous detail, and savior framing. The paper is structured to support nonprofit website use, grant applications, donor education, and staff onboarding.</w:t>
      </w:r>
    </w:p>
    <w:p w14:paraId="34A4AD5B" w14:textId="77777777" w:rsidR="00B201DF" w:rsidRPr="00D87FB2" w:rsidRDefault="00B201DF" w:rsidP="00B201DF">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5AA3D76A" wp14:editId="5A8BEF19">
                <wp:extent cx="5943600" cy="635"/>
                <wp:effectExtent l="0" t="0" r="12700" b="24765"/>
                <wp:docPr id="984280980" name="Rectangle 2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E8286E" id="Rectangle 26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2C9B4484"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Sources used in research verification (web-search confirmed):</w:t>
      </w:r>
    </w:p>
    <w:p w14:paraId="5BA0483B" w14:textId="77777777" w:rsidR="00B201DF" w:rsidRPr="00D87FB2" w:rsidRDefault="00B201DF" w:rsidP="00B201D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5" w:history="1">
        <w:r w:rsidRPr="00D87FB2">
          <w:rPr>
            <w:rFonts w:ascii="Times New Roman" w:eastAsia="Times New Roman" w:hAnsi="Times New Roman" w:cs="Times New Roman"/>
            <w:color w:val="0000FF"/>
            <w:kern w:val="0"/>
            <w:u w:val="single"/>
            <w14:ligatures w14:val="none"/>
          </w:rPr>
          <w:t>22 U.S. Code § 7102 - Definitions (LII)</w:t>
        </w:r>
      </w:hyperlink>
    </w:p>
    <w:p w14:paraId="2EFFD5D4" w14:textId="77777777" w:rsidR="00B201DF" w:rsidRPr="00D87FB2" w:rsidRDefault="00B201DF" w:rsidP="00B201D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6" w:history="1">
        <w:r w:rsidRPr="00D87FB2">
          <w:rPr>
            <w:rFonts w:ascii="Times New Roman" w:eastAsia="Times New Roman" w:hAnsi="Times New Roman" w:cs="Times New Roman"/>
            <w:color w:val="0000FF"/>
            <w:kern w:val="0"/>
            <w:u w:val="single"/>
            <w14:ligatures w14:val="none"/>
          </w:rPr>
          <w:t>DOJ Human Trafficking Key Legislation</w:t>
        </w:r>
      </w:hyperlink>
    </w:p>
    <w:p w14:paraId="27BAEA0D" w14:textId="77777777" w:rsidR="00B201DF" w:rsidRPr="00D87FB2" w:rsidRDefault="00B201DF" w:rsidP="00B201D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7" w:history="1">
        <w:r w:rsidRPr="00D87FB2">
          <w:rPr>
            <w:rFonts w:ascii="Times New Roman" w:eastAsia="Times New Roman" w:hAnsi="Times New Roman" w:cs="Times New Roman"/>
            <w:color w:val="0000FF"/>
            <w:kern w:val="0"/>
            <w:u w:val="single"/>
            <w14:ligatures w14:val="none"/>
          </w:rPr>
          <w:t>HHS/ACF Human Trafficking Fact Sheet</w:t>
        </w:r>
      </w:hyperlink>
    </w:p>
    <w:p w14:paraId="48B1CBDD" w14:textId="77777777" w:rsidR="00B201DF" w:rsidRPr="00D87FB2" w:rsidRDefault="00B201DF" w:rsidP="00B201D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8" w:history="1">
        <w:r w:rsidRPr="00D87FB2">
          <w:rPr>
            <w:rFonts w:ascii="Times New Roman" w:eastAsia="Times New Roman" w:hAnsi="Times New Roman" w:cs="Times New Roman"/>
            <w:color w:val="0000FF"/>
            <w:kern w:val="0"/>
            <w:u w:val="single"/>
            <w14:ligatures w14:val="none"/>
          </w:rPr>
          <w:t>DHS Blue Campaign – What Is Human Trafficking?</w:t>
        </w:r>
      </w:hyperlink>
    </w:p>
    <w:p w14:paraId="67E6C0A3" w14:textId="77777777" w:rsidR="00B201DF" w:rsidRPr="00D87FB2" w:rsidRDefault="00B201DF" w:rsidP="00B201D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9" w:history="1">
        <w:r w:rsidRPr="00D87FB2">
          <w:rPr>
            <w:rFonts w:ascii="Times New Roman" w:eastAsia="Times New Roman" w:hAnsi="Times New Roman" w:cs="Times New Roman"/>
            <w:color w:val="0000FF"/>
            <w:kern w:val="0"/>
            <w:u w:val="single"/>
            <w14:ligatures w14:val="none"/>
          </w:rPr>
          <w:t>2025 Trafficking in Persons Report (U.S. State Department)</w:t>
        </w:r>
      </w:hyperlink>
    </w:p>
    <w:p w14:paraId="1A7927E0" w14:textId="77777777" w:rsidR="00B201DF" w:rsidRPr="00D87FB2" w:rsidRDefault="00B201DF" w:rsidP="00B201D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0" w:history="1">
        <w:r w:rsidRPr="00D87FB2">
          <w:rPr>
            <w:rFonts w:ascii="Times New Roman" w:eastAsia="Times New Roman" w:hAnsi="Times New Roman" w:cs="Times New Roman"/>
            <w:color w:val="0000FF"/>
            <w:kern w:val="0"/>
            <w:u w:val="single"/>
            <w14:ligatures w14:val="none"/>
          </w:rPr>
          <w:t>Polaris – 2024 Hotline Data</w:t>
        </w:r>
      </w:hyperlink>
    </w:p>
    <w:p w14:paraId="34FB7D1D" w14:textId="77777777" w:rsidR="00B201DF" w:rsidRPr="00D87FB2" w:rsidRDefault="00B201DF" w:rsidP="00B201D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1" w:history="1">
        <w:r w:rsidRPr="00D87FB2">
          <w:rPr>
            <w:rFonts w:ascii="Times New Roman" w:eastAsia="Times New Roman" w:hAnsi="Times New Roman" w:cs="Times New Roman"/>
            <w:color w:val="0000FF"/>
            <w:kern w:val="0"/>
            <w:u w:val="single"/>
            <w14:ligatures w14:val="none"/>
          </w:rPr>
          <w:t>Polaris – U.S. National Human Trafficking Hotline Statistics</w:t>
        </w:r>
      </w:hyperlink>
    </w:p>
    <w:p w14:paraId="2EFB98FA" w14:textId="77777777" w:rsidR="00B201DF" w:rsidRPr="00D87FB2" w:rsidRDefault="00B201DF" w:rsidP="00B201D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2" w:history="1">
        <w:r w:rsidRPr="00D87FB2">
          <w:rPr>
            <w:rFonts w:ascii="Times New Roman" w:eastAsia="Times New Roman" w:hAnsi="Times New Roman" w:cs="Times New Roman"/>
            <w:color w:val="0000FF"/>
            <w:kern w:val="0"/>
            <w:u w:val="single"/>
            <w14:ligatures w14:val="none"/>
          </w:rPr>
          <w:t>Polaris – The Typology of Modern Slavery</w:t>
        </w:r>
      </w:hyperlink>
    </w:p>
    <w:p w14:paraId="052887B0" w14:textId="77777777" w:rsidR="00B201DF" w:rsidRPr="00D87FB2" w:rsidRDefault="00B201DF" w:rsidP="00B201D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3" w:history="1">
        <w:r w:rsidRPr="00D87FB2">
          <w:rPr>
            <w:rFonts w:ascii="Times New Roman" w:eastAsia="Times New Roman" w:hAnsi="Times New Roman" w:cs="Times New Roman"/>
            <w:color w:val="0000FF"/>
            <w:kern w:val="0"/>
            <w:u w:val="single"/>
            <w14:ligatures w14:val="none"/>
          </w:rPr>
          <w:t>ILO/Walk Free/IOM – Global Estimates of Modern Slavery (2022)</w:t>
        </w:r>
      </w:hyperlink>
    </w:p>
    <w:p w14:paraId="7EEA2EBE" w14:textId="77777777" w:rsidR="00B201DF" w:rsidRPr="00D87FB2" w:rsidRDefault="00B201DF" w:rsidP="00B201D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4" w:history="1">
        <w:r w:rsidRPr="00D87FB2">
          <w:rPr>
            <w:rFonts w:ascii="Times New Roman" w:eastAsia="Times New Roman" w:hAnsi="Times New Roman" w:cs="Times New Roman"/>
            <w:color w:val="0000FF"/>
            <w:kern w:val="0"/>
            <w:u w:val="single"/>
            <w14:ligatures w14:val="none"/>
          </w:rPr>
          <w:t>California Penal Code § 236.1</w:t>
        </w:r>
      </w:hyperlink>
    </w:p>
    <w:p w14:paraId="79103DFC" w14:textId="77777777" w:rsidR="00B201DF" w:rsidRPr="00D87FB2" w:rsidRDefault="00B201DF" w:rsidP="00B201D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5" w:history="1">
        <w:r w:rsidRPr="00D87FB2">
          <w:rPr>
            <w:rFonts w:ascii="Times New Roman" w:eastAsia="Times New Roman" w:hAnsi="Times New Roman" w:cs="Times New Roman"/>
            <w:color w:val="0000FF"/>
            <w:kern w:val="0"/>
            <w:u w:val="single"/>
            <w14:ligatures w14:val="none"/>
          </w:rPr>
          <w:t>California AG – PC §§ 236.14 &amp; 236.15 Vacatur Toolkit</w:t>
        </w:r>
      </w:hyperlink>
    </w:p>
    <w:p w14:paraId="7F26DC43" w14:textId="77777777" w:rsidR="00B201DF" w:rsidRPr="00D87FB2" w:rsidRDefault="00B201DF" w:rsidP="00B201D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6" w:history="1">
        <w:r w:rsidRPr="00D87FB2">
          <w:rPr>
            <w:rFonts w:ascii="Times New Roman" w:eastAsia="Times New Roman" w:hAnsi="Times New Roman" w:cs="Times New Roman"/>
            <w:color w:val="0000FF"/>
            <w:kern w:val="0"/>
            <w:u w:val="single"/>
            <w14:ligatures w14:val="none"/>
          </w:rPr>
          <w:t>USCIS – T Nonimmigrant Status</w:t>
        </w:r>
      </w:hyperlink>
    </w:p>
    <w:p w14:paraId="10DCEFF4" w14:textId="77777777" w:rsidR="00B201DF" w:rsidRPr="00D87FB2" w:rsidRDefault="00B201DF" w:rsidP="00B201D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7" w:history="1">
        <w:r w:rsidRPr="00D87FB2">
          <w:rPr>
            <w:rFonts w:ascii="Times New Roman" w:eastAsia="Times New Roman" w:hAnsi="Times New Roman" w:cs="Times New Roman"/>
            <w:color w:val="0000FF"/>
            <w:kern w:val="0"/>
            <w:u w:val="single"/>
            <w14:ligatures w14:val="none"/>
          </w:rPr>
          <w:t>USCIS – U Nonimmigrant Status</w:t>
        </w:r>
      </w:hyperlink>
    </w:p>
    <w:p w14:paraId="06EE0FA1" w14:textId="77777777" w:rsidR="00B201DF" w:rsidRPr="00D87FB2" w:rsidRDefault="00B201DF" w:rsidP="00B201D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8" w:history="1">
        <w:r w:rsidRPr="00D87FB2">
          <w:rPr>
            <w:rFonts w:ascii="Times New Roman" w:eastAsia="Times New Roman" w:hAnsi="Times New Roman" w:cs="Times New Roman"/>
            <w:color w:val="0000FF"/>
            <w:kern w:val="0"/>
            <w:u w:val="single"/>
            <w14:ligatures w14:val="none"/>
          </w:rPr>
          <w:t>SAMHSA – Concept of Trauma and Guidance for a Trauma-Informed Approach</w:t>
        </w:r>
      </w:hyperlink>
    </w:p>
    <w:p w14:paraId="75DA3880" w14:textId="77777777" w:rsidR="00B201DF" w:rsidRPr="00D87FB2" w:rsidRDefault="00B201DF" w:rsidP="00B201D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9" w:history="1">
        <w:r w:rsidRPr="00D87FB2">
          <w:rPr>
            <w:rFonts w:ascii="Times New Roman" w:eastAsia="Times New Roman" w:hAnsi="Times New Roman" w:cs="Times New Roman"/>
            <w:color w:val="0000FF"/>
            <w:kern w:val="0"/>
            <w:u w:val="single"/>
            <w14:ligatures w14:val="none"/>
          </w:rPr>
          <w:t>Covenant House – Human Trafficking and Youth Homelessness</w:t>
        </w:r>
      </w:hyperlink>
    </w:p>
    <w:p w14:paraId="4FB67C5D" w14:textId="77777777" w:rsidR="00B201DF" w:rsidRPr="00D87FB2" w:rsidRDefault="00B201DF" w:rsidP="00B201D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20" w:history="1">
        <w:r w:rsidRPr="00D87FB2">
          <w:rPr>
            <w:rFonts w:ascii="Times New Roman" w:eastAsia="Times New Roman" w:hAnsi="Times New Roman" w:cs="Times New Roman"/>
            <w:color w:val="0000FF"/>
            <w:kern w:val="0"/>
            <w:u w:val="single"/>
            <w14:ligatures w14:val="none"/>
          </w:rPr>
          <w:t>HEAL Trafficking</w:t>
        </w:r>
      </w:hyperlink>
    </w:p>
    <w:p w14:paraId="26CDCAFC" w14:textId="77777777" w:rsidR="00B201DF" w:rsidRPr="00D87FB2" w:rsidRDefault="00B201DF" w:rsidP="00B201D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21" w:history="1">
        <w:r w:rsidRPr="00D87FB2">
          <w:rPr>
            <w:rFonts w:ascii="Times New Roman" w:eastAsia="Times New Roman" w:hAnsi="Times New Roman" w:cs="Times New Roman"/>
            <w:color w:val="0000FF"/>
            <w:kern w:val="0"/>
            <w:u w:val="single"/>
            <w14:ligatures w14:val="none"/>
          </w:rPr>
          <w:t>ACF – Foster Care and Trafficking Research</w:t>
        </w:r>
      </w:hyperlink>
    </w:p>
    <w:p w14:paraId="3FF0FF29" w14:textId="77777777" w:rsidR="00B201DF" w:rsidRPr="00D87FB2" w:rsidRDefault="00B201DF" w:rsidP="00B201D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22" w:history="1">
        <w:r w:rsidRPr="00D87FB2">
          <w:rPr>
            <w:rFonts w:ascii="Times New Roman" w:eastAsia="Times New Roman" w:hAnsi="Times New Roman" w:cs="Times New Roman"/>
            <w:color w:val="0000FF"/>
            <w:kern w:val="0"/>
            <w:u w:val="single"/>
            <w14:ligatures w14:val="none"/>
          </w:rPr>
          <w:t xml:space="preserve">NIJ – Human Trafficking Among Youth Who Run </w:t>
        </w:r>
        <w:proofErr w:type="gramStart"/>
        <w:r w:rsidRPr="00D87FB2">
          <w:rPr>
            <w:rFonts w:ascii="Times New Roman" w:eastAsia="Times New Roman" w:hAnsi="Times New Roman" w:cs="Times New Roman"/>
            <w:color w:val="0000FF"/>
            <w:kern w:val="0"/>
            <w:u w:val="single"/>
            <w14:ligatures w14:val="none"/>
          </w:rPr>
          <w:t>From</w:t>
        </w:r>
        <w:proofErr w:type="gramEnd"/>
        <w:r w:rsidRPr="00D87FB2">
          <w:rPr>
            <w:rFonts w:ascii="Times New Roman" w:eastAsia="Times New Roman" w:hAnsi="Times New Roman" w:cs="Times New Roman"/>
            <w:color w:val="0000FF"/>
            <w:kern w:val="0"/>
            <w:u w:val="single"/>
            <w14:ligatures w14:val="none"/>
          </w:rPr>
          <w:t xml:space="preserve"> Foster Care</w:t>
        </w:r>
      </w:hyperlink>
    </w:p>
    <w:p w14:paraId="1B79AB07" w14:textId="77777777" w:rsidR="00B201DF" w:rsidRPr="00D87FB2" w:rsidRDefault="00B201DF" w:rsidP="00B201D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23" w:history="1">
        <w:r w:rsidRPr="00D87FB2">
          <w:rPr>
            <w:rFonts w:ascii="Times New Roman" w:eastAsia="Times New Roman" w:hAnsi="Times New Roman" w:cs="Times New Roman"/>
            <w:color w:val="0000FF"/>
            <w:kern w:val="0"/>
            <w:u w:val="single"/>
            <w14:ligatures w14:val="none"/>
          </w:rPr>
          <w:t>Casassa et al. – Trauma Bonding Scoping Review (PubMed)</w:t>
        </w:r>
      </w:hyperlink>
    </w:p>
    <w:p w14:paraId="25A2EAEF" w14:textId="77777777" w:rsidR="00B201DF" w:rsidRPr="00D87FB2" w:rsidRDefault="00B201DF" w:rsidP="00B201D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24" w:history="1">
        <w:r w:rsidRPr="00D87FB2">
          <w:rPr>
            <w:rFonts w:ascii="Times New Roman" w:eastAsia="Times New Roman" w:hAnsi="Times New Roman" w:cs="Times New Roman"/>
            <w:color w:val="0000FF"/>
            <w:kern w:val="0"/>
            <w:u w:val="single"/>
            <w14:ligatures w14:val="none"/>
          </w:rPr>
          <w:t>Sanchez et al. – Trauma-Coercive Bonding Concept Analysis (PubMed)</w:t>
        </w:r>
      </w:hyperlink>
    </w:p>
    <w:p w14:paraId="761B9FEC" w14:textId="77777777" w:rsidR="00B201DF" w:rsidRPr="00D87FB2" w:rsidRDefault="00B201DF" w:rsidP="00B201D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25" w:history="1">
        <w:r w:rsidRPr="00D87FB2">
          <w:rPr>
            <w:rFonts w:ascii="Times New Roman" w:eastAsia="Times New Roman" w:hAnsi="Times New Roman" w:cs="Times New Roman"/>
            <w:color w:val="0000FF"/>
            <w:kern w:val="0"/>
            <w:u w:val="single"/>
            <w14:ligatures w14:val="none"/>
          </w:rPr>
          <w:t>Goldberg et al. – Polysubstance Use Among Survivors (PMC)</w:t>
        </w:r>
      </w:hyperlink>
    </w:p>
    <w:p w14:paraId="1CD31D6B"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Ready for the next topic in your list whenever you are. If you'd like, I can next produce </w:t>
      </w:r>
      <w:r w:rsidRPr="00D87FB2">
        <w:rPr>
          <w:rFonts w:ascii="Times New Roman" w:eastAsia="Times New Roman" w:hAnsi="Times New Roman" w:cs="Times New Roman"/>
          <w:b/>
          <w:bCs/>
          <w:kern w:val="0"/>
          <w14:ligatures w14:val="none"/>
        </w:rPr>
        <w:t>Sex Trafficking</w:t>
      </w:r>
      <w:r w:rsidRPr="00D87FB2">
        <w:rPr>
          <w:rFonts w:ascii="Times New Roman" w:eastAsia="Times New Roman" w:hAnsi="Times New Roman" w:cs="Times New Roman"/>
          <w:kern w:val="0"/>
          <w14:ligatures w14:val="none"/>
        </w:rPr>
        <w:t xml:space="preserve"> or </w:t>
      </w:r>
      <w:r w:rsidRPr="00D87FB2">
        <w:rPr>
          <w:rFonts w:ascii="Times New Roman" w:eastAsia="Times New Roman" w:hAnsi="Times New Roman" w:cs="Times New Roman"/>
          <w:b/>
          <w:bCs/>
          <w:kern w:val="0"/>
          <w14:ligatures w14:val="none"/>
        </w:rPr>
        <w:t>Commercial Sexual Exploitation of Children</w:t>
      </w:r>
      <w:r w:rsidRPr="00D87FB2">
        <w:rPr>
          <w:rFonts w:ascii="Times New Roman" w:eastAsia="Times New Roman" w:hAnsi="Times New Roman" w:cs="Times New Roman"/>
          <w:kern w:val="0"/>
          <w14:ligatures w14:val="none"/>
        </w:rPr>
        <w:t>, or work through the topics in the order listed in your project instructions.</w:t>
      </w:r>
    </w:p>
    <w:p w14:paraId="6A1C4EEF" w14:textId="77777777" w:rsidR="00B201DF" w:rsidRDefault="00B201DF" w:rsidP="00B201DF">
      <w:pPr>
        <w:keepLines/>
        <w:spacing w:line="240" w:lineRule="auto"/>
      </w:pPr>
    </w:p>
    <w:p w14:paraId="5B0D2873" w14:textId="77777777" w:rsidR="00B201DF" w:rsidRDefault="00B201DF" w:rsidP="00B201DF">
      <w:pPr>
        <w:keepLines/>
        <w:spacing w:line="240" w:lineRule="auto"/>
      </w:pPr>
      <w:r>
        <w:t>---</w:t>
      </w:r>
    </w:p>
    <w:p w14:paraId="22D5A6C2" w14:textId="77777777" w:rsidR="00B201DF" w:rsidRDefault="00B201DF" w:rsidP="00B201DF">
      <w:pPr>
        <w:keepLines/>
        <w:spacing w:line="240" w:lineRule="auto"/>
      </w:pPr>
    </w:p>
    <w:p w14:paraId="796B384A" w14:textId="77777777" w:rsidR="00B201DF" w:rsidRPr="00D87FB2" w:rsidRDefault="00B201DF" w:rsidP="00B201DF">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Running targeted research to verify indicators, safe response protocols, and identification literature before </w:t>
      </w:r>
      <w:proofErr w:type="spellStart"/>
      <w:proofErr w:type="gramStart"/>
      <w:r w:rsidRPr="00D87FB2">
        <w:rPr>
          <w:rFonts w:ascii="Times New Roman" w:eastAsia="Times New Roman" w:hAnsi="Times New Roman" w:cs="Times New Roman"/>
          <w:kern w:val="0"/>
          <w14:ligatures w14:val="none"/>
        </w:rPr>
        <w:t>drafting.Sources</w:t>
      </w:r>
      <w:proofErr w:type="spellEnd"/>
      <w:proofErr w:type="gramEnd"/>
      <w:r w:rsidRPr="00D87FB2">
        <w:rPr>
          <w:rFonts w:ascii="Times New Roman" w:eastAsia="Times New Roman" w:hAnsi="Times New Roman" w:cs="Times New Roman"/>
          <w:kern w:val="0"/>
          <w14:ligatures w14:val="none"/>
        </w:rPr>
        <w:t xml:space="preserve"> verified. Producing the full academic paper.</w:t>
      </w:r>
    </w:p>
    <w:p w14:paraId="0BD27DDC" w14:textId="77777777" w:rsidR="00A9648C" w:rsidRPr="00B201DF" w:rsidRDefault="00A9648C" w:rsidP="00B201DF"/>
    <w:sectPr w:rsidR="00A9648C" w:rsidRPr="00B201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23E09"/>
    <w:multiLevelType w:val="multilevel"/>
    <w:tmpl w:val="4F3E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3887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9E9"/>
    <w:rsid w:val="000F13E8"/>
    <w:rsid w:val="002C0EE5"/>
    <w:rsid w:val="005959E9"/>
    <w:rsid w:val="0074424C"/>
    <w:rsid w:val="00877703"/>
    <w:rsid w:val="00A9648C"/>
    <w:rsid w:val="00AE03CC"/>
    <w:rsid w:val="00B201DF"/>
    <w:rsid w:val="00C72B8D"/>
    <w:rsid w:val="00EF5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22AAA"/>
  <w15:chartTrackingRefBased/>
  <w15:docId w15:val="{61D61704-7804-6F4F-9F6C-199321DF9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1DF"/>
  </w:style>
  <w:style w:type="paragraph" w:styleId="Heading1">
    <w:name w:val="heading 1"/>
    <w:basedOn w:val="Normal"/>
    <w:next w:val="Normal"/>
    <w:link w:val="Heading1Char"/>
    <w:uiPriority w:val="9"/>
    <w:qFormat/>
    <w:rsid w:val="005959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59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59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59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59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59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9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9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9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9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59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59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59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59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59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9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9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9E9"/>
    <w:rPr>
      <w:rFonts w:eastAsiaTheme="majorEastAsia" w:cstheme="majorBidi"/>
      <w:color w:val="272727" w:themeColor="text1" w:themeTint="D8"/>
    </w:rPr>
  </w:style>
  <w:style w:type="paragraph" w:styleId="Title">
    <w:name w:val="Title"/>
    <w:basedOn w:val="Normal"/>
    <w:next w:val="Normal"/>
    <w:link w:val="TitleChar"/>
    <w:uiPriority w:val="10"/>
    <w:qFormat/>
    <w:rsid w:val="005959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9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9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9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9E9"/>
    <w:pPr>
      <w:spacing w:before="160"/>
      <w:jc w:val="center"/>
    </w:pPr>
    <w:rPr>
      <w:i/>
      <w:iCs/>
      <w:color w:val="404040" w:themeColor="text1" w:themeTint="BF"/>
    </w:rPr>
  </w:style>
  <w:style w:type="character" w:customStyle="1" w:styleId="QuoteChar">
    <w:name w:val="Quote Char"/>
    <w:basedOn w:val="DefaultParagraphFont"/>
    <w:link w:val="Quote"/>
    <w:uiPriority w:val="29"/>
    <w:rsid w:val="005959E9"/>
    <w:rPr>
      <w:i/>
      <w:iCs/>
      <w:color w:val="404040" w:themeColor="text1" w:themeTint="BF"/>
    </w:rPr>
  </w:style>
  <w:style w:type="paragraph" w:styleId="ListParagraph">
    <w:name w:val="List Paragraph"/>
    <w:basedOn w:val="Normal"/>
    <w:uiPriority w:val="34"/>
    <w:qFormat/>
    <w:rsid w:val="005959E9"/>
    <w:pPr>
      <w:ind w:left="720"/>
      <w:contextualSpacing/>
    </w:pPr>
  </w:style>
  <w:style w:type="character" w:styleId="IntenseEmphasis">
    <w:name w:val="Intense Emphasis"/>
    <w:basedOn w:val="DefaultParagraphFont"/>
    <w:uiPriority w:val="21"/>
    <w:qFormat/>
    <w:rsid w:val="005959E9"/>
    <w:rPr>
      <w:i/>
      <w:iCs/>
      <w:color w:val="0F4761" w:themeColor="accent1" w:themeShade="BF"/>
    </w:rPr>
  </w:style>
  <w:style w:type="paragraph" w:styleId="IntenseQuote">
    <w:name w:val="Intense Quote"/>
    <w:basedOn w:val="Normal"/>
    <w:next w:val="Normal"/>
    <w:link w:val="IntenseQuoteChar"/>
    <w:uiPriority w:val="30"/>
    <w:qFormat/>
    <w:rsid w:val="005959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59E9"/>
    <w:rPr>
      <w:i/>
      <w:iCs/>
      <w:color w:val="0F4761" w:themeColor="accent1" w:themeShade="BF"/>
    </w:rPr>
  </w:style>
  <w:style w:type="character" w:styleId="IntenseReference">
    <w:name w:val="Intense Reference"/>
    <w:basedOn w:val="DefaultParagraphFont"/>
    <w:uiPriority w:val="32"/>
    <w:qFormat/>
    <w:rsid w:val="005959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hs.gov/blue-campaign/what-human-trafficking" TargetMode="External"/><Relationship Id="rId13" Type="http://schemas.openxmlformats.org/officeDocument/2006/relationships/hyperlink" Target="https://www.ilo.org/publications/major-publications/global-estimates-modern-slavery-forced-labour-and-forced-marriage" TargetMode="External"/><Relationship Id="rId18" Type="http://schemas.openxmlformats.org/officeDocument/2006/relationships/hyperlink" Target="https://library.samhsa.gov/product/samhsas-concept-trauma-and-guidance-trauma-informed-approach/sma14-4884"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acf.hhs.gov/opre/report/domestic-human-trafficking-and-child-welfare-population-2016-2018-overview" TargetMode="External"/><Relationship Id="rId7" Type="http://schemas.openxmlformats.org/officeDocument/2006/relationships/hyperlink" Target="https://www.acf.hhs.gov/otip/fact-sheet/resource/fshumantrafficking" TargetMode="External"/><Relationship Id="rId12" Type="http://schemas.openxmlformats.org/officeDocument/2006/relationships/hyperlink" Target="https://polarisproject.org/the-typology-of-modern-slavery/" TargetMode="External"/><Relationship Id="rId17" Type="http://schemas.openxmlformats.org/officeDocument/2006/relationships/hyperlink" Target="https://www.uscis.gov/humanitarian/victims-of-criminal-activity-u-nonimmigrant-status" TargetMode="External"/><Relationship Id="rId25" Type="http://schemas.openxmlformats.org/officeDocument/2006/relationships/hyperlink" Target="https://pmc.ncbi.nlm.nih.gov/articles/PMC12720257/" TargetMode="External"/><Relationship Id="rId2" Type="http://schemas.openxmlformats.org/officeDocument/2006/relationships/styles" Target="styles.xml"/><Relationship Id="rId16" Type="http://schemas.openxmlformats.org/officeDocument/2006/relationships/hyperlink" Target="https://www.uscis.gov/humanitarian/victims-of-human-trafficking-t-nonimmigrant-status" TargetMode="External"/><Relationship Id="rId20" Type="http://schemas.openxmlformats.org/officeDocument/2006/relationships/hyperlink" Target="https://www.healtrafficking.org/" TargetMode="External"/><Relationship Id="rId1" Type="http://schemas.openxmlformats.org/officeDocument/2006/relationships/numbering" Target="numbering.xml"/><Relationship Id="rId6" Type="http://schemas.openxmlformats.org/officeDocument/2006/relationships/hyperlink" Target="https://www.justice.gov/humantrafficking/key-legislation" TargetMode="External"/><Relationship Id="rId11" Type="http://schemas.openxmlformats.org/officeDocument/2006/relationships/hyperlink" Target="https://polarisproject.org/resources/us-national-human-trafficking-hotline-statistics/" TargetMode="External"/><Relationship Id="rId24" Type="http://schemas.openxmlformats.org/officeDocument/2006/relationships/hyperlink" Target="https://pubmed.ncbi.nlm.nih.gov/30852255/" TargetMode="External"/><Relationship Id="rId5" Type="http://schemas.openxmlformats.org/officeDocument/2006/relationships/hyperlink" Target="https://www.law.cornell.edu/uscode/text/22/7102" TargetMode="External"/><Relationship Id="rId15" Type="http://schemas.openxmlformats.org/officeDocument/2006/relationships/hyperlink" Target="https://oag.ca.gov/system/files/attachments/press-docs/Vacatur%20Toolkit.pdf" TargetMode="External"/><Relationship Id="rId23" Type="http://schemas.openxmlformats.org/officeDocument/2006/relationships/hyperlink" Target="https://pubmed.ncbi.nlm.nih.gov/33455528/" TargetMode="External"/><Relationship Id="rId10" Type="http://schemas.openxmlformats.org/officeDocument/2006/relationships/hyperlink" Target="https://polarisproject.org/blog/2025/06/the-2024-hotline-data-is-here-and-it-tells-a-story-of-hope-resilience-and-action/" TargetMode="External"/><Relationship Id="rId19" Type="http://schemas.openxmlformats.org/officeDocument/2006/relationships/hyperlink" Target="https://www.covenanthouse.org/homeless-issues/human-trafficking" TargetMode="External"/><Relationship Id="rId4" Type="http://schemas.openxmlformats.org/officeDocument/2006/relationships/webSettings" Target="webSettings.xml"/><Relationship Id="rId9" Type="http://schemas.openxmlformats.org/officeDocument/2006/relationships/hyperlink" Target="https://www.state.gov/reports/2025-trafficking-in-persons-report/" TargetMode="External"/><Relationship Id="rId14" Type="http://schemas.openxmlformats.org/officeDocument/2006/relationships/hyperlink" Target="https://leginfo.legislature.ca.gov/faces/codes_displaySection.xhtml?sectionNum=236.1.&amp;lawCode=PEN" TargetMode="External"/><Relationship Id="rId22" Type="http://schemas.openxmlformats.org/officeDocument/2006/relationships/hyperlink" Target="https://nij.ojp.gov/library/publications/human-trafficking-victimization-among-youth-who-run-away-foster-care"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8257</Words>
  <Characters>47071</Characters>
  <Application>Microsoft Office Word</Application>
  <DocSecurity>0</DocSecurity>
  <Lines>392</Lines>
  <Paragraphs>110</Paragraphs>
  <ScaleCrop>false</ScaleCrop>
  <Company/>
  <LinksUpToDate>false</LinksUpToDate>
  <CharactersWithSpaces>55218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Salsbury</dc:creator>
  <cp:keywords/>
  <dc:description/>
  <cp:lastModifiedBy>Brian Salsbury</cp:lastModifiedBy>
  <cp:revision>2</cp:revision>
  <dcterms:created xsi:type="dcterms:W3CDTF">2026-05-09T16:26:00Z</dcterms:created>
  <dcterms:modified xsi:type="dcterms:W3CDTF">2026-05-09T16:26:00Z</dcterms:modified>
</cp:coreProperties>
</file>